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AD" w:rsidRPr="00AB1788" w:rsidRDefault="006F67AD" w:rsidP="006F67AD">
      <w:pPr>
        <w:jc w:val="right"/>
        <w:rPr>
          <w:b/>
          <w:lang w:val="ro-RO"/>
        </w:rPr>
      </w:pPr>
      <w:r w:rsidRPr="00AB1788">
        <w:rPr>
          <w:b/>
          <w:lang w:val="ro-RO"/>
        </w:rPr>
        <w:t>Anexa</w:t>
      </w:r>
    </w:p>
    <w:p w:rsidR="006F67AD" w:rsidRPr="00AB1788" w:rsidRDefault="006F67AD" w:rsidP="00A43185">
      <w:pPr>
        <w:rPr>
          <w:b/>
          <w:lang w:val="ro-RO"/>
        </w:rPr>
      </w:pPr>
    </w:p>
    <w:p w:rsidR="006F67AD" w:rsidRPr="00AB1788" w:rsidRDefault="006F67AD" w:rsidP="00A43185">
      <w:pPr>
        <w:rPr>
          <w:b/>
          <w:lang w:val="ro-RO"/>
        </w:rPr>
      </w:pPr>
    </w:p>
    <w:tbl>
      <w:tblPr>
        <w:tblW w:w="150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11974"/>
      </w:tblGrid>
      <w:tr w:rsidR="006F67AD" w:rsidRPr="00AB1788" w:rsidTr="009E2169">
        <w:tc>
          <w:tcPr>
            <w:tcW w:w="567" w:type="dxa"/>
          </w:tcPr>
          <w:p w:rsidR="006F67AD" w:rsidRPr="00AB1788" w:rsidRDefault="006F67AD" w:rsidP="009E2169">
            <w:pPr>
              <w:rPr>
                <w:lang w:val="ro-RO"/>
              </w:rPr>
            </w:pPr>
          </w:p>
          <w:p w:rsidR="006F67AD" w:rsidRPr="00AB1788" w:rsidRDefault="006F67AD" w:rsidP="009E2169">
            <w:pPr>
              <w:rPr>
                <w:lang w:val="ro-RO"/>
              </w:rPr>
            </w:pPr>
            <w:r w:rsidRPr="00AB1788">
              <w:rPr>
                <w:lang w:val="ro-RO"/>
              </w:rPr>
              <w:t>1</w:t>
            </w:r>
          </w:p>
        </w:tc>
        <w:tc>
          <w:tcPr>
            <w:tcW w:w="2552" w:type="dxa"/>
          </w:tcPr>
          <w:p w:rsidR="006F67AD" w:rsidRPr="00AB1788" w:rsidRDefault="006F67AD" w:rsidP="009E2169">
            <w:pPr>
              <w:rPr>
                <w:lang w:val="ro-RO"/>
              </w:rPr>
            </w:pPr>
          </w:p>
          <w:p w:rsidR="006F67AD" w:rsidRPr="00AB1788" w:rsidRDefault="006F67AD" w:rsidP="009E2169">
            <w:pPr>
              <w:rPr>
                <w:lang w:val="ro-RO"/>
              </w:rPr>
            </w:pPr>
            <w:proofErr w:type="spellStart"/>
            <w:r w:rsidRPr="00AB1788">
              <w:rPr>
                <w:lang w:val="ro-RO"/>
              </w:rPr>
              <w:t>Art</w:t>
            </w:r>
            <w:proofErr w:type="spellEnd"/>
            <w:r w:rsidRPr="00AB1788">
              <w:rPr>
                <w:lang w:val="ro-RO"/>
              </w:rPr>
              <w:t xml:space="preserve"> 12, punctul 1)</w:t>
            </w:r>
          </w:p>
          <w:p w:rsidR="00527251" w:rsidRPr="00AB1788" w:rsidRDefault="00527251" w:rsidP="009E2169">
            <w:pPr>
              <w:rPr>
                <w:lang w:val="ro-RO"/>
              </w:rPr>
            </w:pPr>
          </w:p>
          <w:p w:rsidR="00527251" w:rsidRDefault="00527251" w:rsidP="009E2169">
            <w:pPr>
              <w:rPr>
                <w:lang w:val="ro-RO"/>
              </w:rPr>
            </w:pPr>
            <w:r w:rsidRPr="00AB1788">
              <w:rPr>
                <w:lang w:val="ro-RO"/>
              </w:rPr>
              <w:t xml:space="preserve">Art.89 alin.(1) </w:t>
            </w:r>
          </w:p>
          <w:p w:rsidR="00F65DD5" w:rsidRPr="00AB1788" w:rsidRDefault="00F65DD5" w:rsidP="009E2169">
            <w:pPr>
              <w:rPr>
                <w:lang w:val="ro-RO"/>
              </w:rPr>
            </w:pPr>
            <w:r>
              <w:rPr>
                <w:lang w:val="ro-RO"/>
              </w:rPr>
              <w:t>Codul Fiscal al RM</w:t>
            </w:r>
          </w:p>
        </w:tc>
        <w:tc>
          <w:tcPr>
            <w:tcW w:w="11974" w:type="dxa"/>
          </w:tcPr>
          <w:p w:rsidR="006F67AD" w:rsidRPr="00AB1788" w:rsidRDefault="006F67AD" w:rsidP="009E2169">
            <w:pPr>
              <w:rPr>
                <w:lang w:val="ro-RO"/>
              </w:rPr>
            </w:pPr>
          </w:p>
          <w:p w:rsidR="006F67AD" w:rsidRPr="00AB1788" w:rsidRDefault="00C847AD" w:rsidP="009E2169">
            <w:pPr>
              <w:rPr>
                <w:b/>
                <w:i/>
                <w:lang w:val="ro-RO"/>
              </w:rPr>
            </w:pPr>
            <w:r w:rsidRPr="00AB1788">
              <w:rPr>
                <w:lang w:val="ro-RO"/>
              </w:rPr>
              <w:t>Definiţia de „</w:t>
            </w:r>
            <w:proofErr w:type="spellStart"/>
            <w:r w:rsidRPr="00AB1788">
              <w:rPr>
                <w:b/>
                <w:i/>
                <w:lang w:val="ro-RO"/>
              </w:rPr>
              <w:t>royalty</w:t>
            </w:r>
            <w:proofErr w:type="spellEnd"/>
            <w:r w:rsidRPr="00AB1788">
              <w:rPr>
                <w:b/>
                <w:i/>
                <w:lang w:val="ro-RO"/>
              </w:rPr>
              <w:t xml:space="preserve"> </w:t>
            </w:r>
            <w:r w:rsidRPr="00AB1788">
              <w:rPr>
                <w:b/>
                <w:i/>
                <w:u w:val="single"/>
                <w:lang w:val="ro-RO"/>
              </w:rPr>
              <w:t>(redevenţă)</w:t>
            </w:r>
            <w:r w:rsidR="00AD2FED" w:rsidRPr="00AB1788">
              <w:rPr>
                <w:lang w:val="ro-RO"/>
              </w:rPr>
              <w:t>”</w:t>
            </w:r>
            <w:r w:rsidR="006F67AD" w:rsidRPr="00AB1788">
              <w:rPr>
                <w:lang w:val="ro-RO"/>
              </w:rPr>
              <w:t xml:space="preserve"> în redacţia </w:t>
            </w:r>
            <w:r w:rsidR="00AD2FED" w:rsidRPr="00AB1788">
              <w:rPr>
                <w:lang w:val="ro-RO"/>
              </w:rPr>
              <w:t>aplicabilă începând</w:t>
            </w:r>
            <w:r w:rsidRPr="00AB1788">
              <w:rPr>
                <w:lang w:val="ro-RO"/>
              </w:rPr>
              <w:t xml:space="preserve"> cu 13 ianuarie 2012, cuprinde inclusiv „</w:t>
            </w:r>
            <w:r w:rsidRPr="00AB1788">
              <w:rPr>
                <w:b/>
                <w:i/>
                <w:lang w:val="ro-RO"/>
              </w:rPr>
              <w:t>venit</w:t>
            </w:r>
            <w:r w:rsidRPr="00AB1788">
              <w:rPr>
                <w:i/>
                <w:lang w:val="ro-RO"/>
              </w:rPr>
              <w:t xml:space="preserve"> care include, în special, plăţi de orice natură, primite în calitate de compensaţie … </w:t>
            </w:r>
            <w:r w:rsidRPr="00AB1788">
              <w:rPr>
                <w:b/>
                <w:i/>
                <w:lang w:val="ro-RO"/>
              </w:rPr>
              <w:t>pentru utilizarea ori concesionarea utilajului industrial, comercial sau ştiinţific…</w:t>
            </w:r>
            <w:r w:rsidRPr="00AB1788">
              <w:rPr>
                <w:lang w:val="ro-RO"/>
              </w:rPr>
              <w:t xml:space="preserve">”. Astfel, redevenţele includ şi </w:t>
            </w:r>
            <w:r w:rsidRPr="00AB1788">
              <w:rPr>
                <w:b/>
                <w:i/>
                <w:lang w:val="ro-RO"/>
              </w:rPr>
              <w:t xml:space="preserve">plăţile de locaţiune a mijloacelor fixe, ceea </w:t>
            </w:r>
            <w:r w:rsidRPr="00AB1788">
              <w:rPr>
                <w:b/>
                <w:i/>
                <w:u w:val="single"/>
                <w:lang w:val="ro-RO"/>
              </w:rPr>
              <w:t>ce contravine principiilor internaţionale de impozitare</w:t>
            </w:r>
            <w:r w:rsidRPr="00AB1788">
              <w:rPr>
                <w:b/>
                <w:i/>
                <w:lang w:val="ro-RO"/>
              </w:rPr>
              <w:t>.</w:t>
            </w:r>
          </w:p>
          <w:p w:rsidR="006F67AD" w:rsidRPr="00AB1788" w:rsidRDefault="006F67AD" w:rsidP="009E2169">
            <w:pPr>
              <w:rPr>
                <w:lang w:val="ro-RO"/>
              </w:rPr>
            </w:pPr>
            <w:r w:rsidRPr="00AB1788">
              <w:rPr>
                <w:lang w:val="ro-RO"/>
              </w:rPr>
              <w:t xml:space="preserve"> </w:t>
            </w:r>
          </w:p>
          <w:p w:rsidR="006F67AD" w:rsidRPr="00AB1788" w:rsidRDefault="006F67AD" w:rsidP="009E2169">
            <w:pPr>
              <w:spacing w:before="60"/>
              <w:rPr>
                <w:lang w:val="ro-RO"/>
              </w:rPr>
            </w:pPr>
            <w:r w:rsidRPr="00AB1788">
              <w:rPr>
                <w:lang w:val="ro-RO"/>
              </w:rPr>
              <w:t xml:space="preserve">Propunem ajustarea </w:t>
            </w:r>
            <w:r w:rsidRPr="00AB1788">
              <w:rPr>
                <w:u w:val="single"/>
                <w:lang w:val="ro-RO"/>
              </w:rPr>
              <w:t>definiţiei de „</w:t>
            </w:r>
            <w:proofErr w:type="spellStart"/>
            <w:r w:rsidRPr="00AB1788">
              <w:rPr>
                <w:u w:val="single"/>
                <w:lang w:val="ro-RO"/>
              </w:rPr>
              <w:t>royalty</w:t>
            </w:r>
            <w:proofErr w:type="spellEnd"/>
            <w:r w:rsidRPr="00AB1788">
              <w:rPr>
                <w:u w:val="single"/>
                <w:lang w:val="ro-RO"/>
              </w:rPr>
              <w:t xml:space="preserve"> (redevenţă)” din art. 12, punctul 1)</w:t>
            </w:r>
            <w:r w:rsidR="00C847AD" w:rsidRPr="00AB1788">
              <w:rPr>
                <w:lang w:val="ro-RO"/>
              </w:rPr>
              <w:t xml:space="preserve"> în corespundere cu definiţia prevăzută în art. 12 al Convenţiei Model OCDE (care potrivit Ordinului nr. 38 al Ministerului Finanţelor din 27 martie 2008, precum şi potrivit art. 79 </w:t>
            </w:r>
            <w:r w:rsidR="00C847AD" w:rsidRPr="00AB1788">
              <w:rPr>
                <w:rStyle w:val="a5"/>
                <w:rFonts w:cs="Arial"/>
                <w:lang w:val="ro-RO"/>
              </w:rPr>
              <w:t>3</w:t>
            </w:r>
            <w:r w:rsidR="00AD2FED" w:rsidRPr="00AB1788">
              <w:rPr>
                <w:lang w:val="ro-RO"/>
              </w:rPr>
              <w:t xml:space="preserve"> alin. (1) al Codului Fiscal</w:t>
            </w:r>
            <w:r w:rsidRPr="00AB1788">
              <w:rPr>
                <w:lang w:val="ro-RO"/>
              </w:rPr>
              <w:t xml:space="preserve"> reprezintă un Ghid pentru interpretarea şi soluţionarea problemelor de natură fiscală legate de aplicarea prevederilor Convenţiilor pentru evitarea dublei impuneri).</w:t>
            </w:r>
            <w:r w:rsidR="00527251" w:rsidRPr="00AB1788">
              <w:rPr>
                <w:lang w:val="ro-RO"/>
              </w:rPr>
              <w:t xml:space="preserve"> În special, urmează a fi exclusă sintagma „</w:t>
            </w:r>
            <w:r w:rsidR="00527251" w:rsidRPr="00AB1788">
              <w:rPr>
                <w:b/>
                <w:i/>
                <w:lang w:val="ro-RO"/>
              </w:rPr>
              <w:t>pentru utilizarea ori concesionarea utilajului</w:t>
            </w:r>
            <w:r w:rsidR="00C847AD" w:rsidRPr="00AB1788">
              <w:rPr>
                <w:b/>
                <w:i/>
                <w:lang w:val="ro-RO"/>
              </w:rPr>
              <w:t xml:space="preserve"> industrial, comercial sau ştiinţific”.</w:t>
            </w:r>
          </w:p>
          <w:p w:rsidR="00122EA4" w:rsidRPr="00AB1788" w:rsidRDefault="00122EA4" w:rsidP="009E2169">
            <w:pPr>
              <w:spacing w:before="60"/>
              <w:rPr>
                <w:lang w:val="ro-RO"/>
              </w:rPr>
            </w:pPr>
          </w:p>
          <w:p w:rsidR="007377D1" w:rsidRPr="00AB1788" w:rsidRDefault="00C847AD" w:rsidP="009E2169">
            <w:pPr>
              <w:spacing w:before="60"/>
              <w:rPr>
                <w:lang w:val="ro-RO"/>
              </w:rPr>
            </w:pPr>
            <w:r w:rsidRPr="00AB1788">
              <w:rPr>
                <w:lang w:val="ro-RO"/>
              </w:rPr>
              <w:t xml:space="preserve">De asemenea, sugerăm clarificarea conceptuală a faptului dacă din plăţile sub formă de </w:t>
            </w:r>
            <w:proofErr w:type="spellStart"/>
            <w:r w:rsidRPr="00AB1788">
              <w:rPr>
                <w:b/>
                <w:i/>
                <w:lang w:val="ro-RO"/>
              </w:rPr>
              <w:t>royalty</w:t>
            </w:r>
            <w:proofErr w:type="spellEnd"/>
            <w:r w:rsidRPr="00AB1788">
              <w:rPr>
                <w:b/>
                <w:i/>
                <w:lang w:val="ro-RO"/>
              </w:rPr>
              <w:t xml:space="preserve"> </w:t>
            </w:r>
            <w:r w:rsidRPr="00AB1788">
              <w:rPr>
                <w:b/>
                <w:i/>
                <w:u w:val="single"/>
                <w:lang w:val="ro-RO"/>
              </w:rPr>
              <w:t>(redevenţă)</w:t>
            </w:r>
            <w:r w:rsidRPr="00AB1788">
              <w:rPr>
                <w:lang w:val="ro-RO"/>
              </w:rPr>
              <w:t xml:space="preserve"> în beneficiul  persoanelor ce practică activitatea de întreprinzător din Moldova, urmează sau nu a fi reţinut în prealabil un impozit pe venit în mărime de </w:t>
            </w:r>
            <w:r w:rsidRPr="00AB1788">
              <w:rPr>
                <w:b/>
                <w:lang w:val="ro-RO"/>
              </w:rPr>
              <w:t>15%</w:t>
            </w:r>
            <w:r w:rsidR="00527251" w:rsidRPr="00AB1788">
              <w:rPr>
                <w:lang w:val="ro-RO"/>
              </w:rPr>
              <w:t xml:space="preserve"> din plata, astfel cum este specificat </w:t>
            </w:r>
            <w:r w:rsidR="007377D1" w:rsidRPr="00AB1788">
              <w:rPr>
                <w:lang w:val="ro-RO"/>
              </w:rPr>
              <w:t xml:space="preserve">actualmente </w:t>
            </w:r>
            <w:r w:rsidR="00527251" w:rsidRPr="00AB1788">
              <w:rPr>
                <w:lang w:val="ro-RO"/>
              </w:rPr>
              <w:t xml:space="preserve">în </w:t>
            </w:r>
            <w:r w:rsidR="00FC6E85" w:rsidRPr="00AB1788">
              <w:rPr>
                <w:lang w:val="ro-RO"/>
              </w:rPr>
              <w:t xml:space="preserve">prevederile </w:t>
            </w:r>
            <w:r w:rsidR="00527251" w:rsidRPr="00AB1788">
              <w:rPr>
                <w:lang w:val="ro-RO"/>
              </w:rPr>
              <w:t>art. 89 alin.(1)</w:t>
            </w:r>
            <w:r w:rsidRPr="00AB1788">
              <w:rPr>
                <w:lang w:val="ro-RO"/>
              </w:rPr>
              <w:t xml:space="preserve"> al Codului fiscal. </w:t>
            </w:r>
          </w:p>
          <w:p w:rsidR="007377D1" w:rsidRPr="00AB1788" w:rsidRDefault="007377D1" w:rsidP="009E2169">
            <w:pPr>
              <w:spacing w:before="60"/>
              <w:rPr>
                <w:lang w:val="ro-RO"/>
              </w:rPr>
            </w:pPr>
          </w:p>
          <w:p w:rsidR="006666DA" w:rsidRPr="00AB1788" w:rsidRDefault="00C847AD" w:rsidP="009E2169">
            <w:pPr>
              <w:spacing w:before="60"/>
              <w:rPr>
                <w:lang w:val="ro-RO"/>
              </w:rPr>
            </w:pPr>
            <w:r w:rsidRPr="00AB1788">
              <w:rPr>
                <w:lang w:val="ro-RO"/>
              </w:rPr>
              <w:t xml:space="preserve">În viziunea noastră, aplicarea acestui impozit de 15% dintre agenţi economici rezidenţi nu este una corectă şi corelată cu faptul ca rata impozitului pe venit din activitatea de întreprinzător constituie 12%, iar impozitul prealabil – 15%. Respectiv, agenţii economici beneficiari ai veniturilor sub formă de </w:t>
            </w:r>
            <w:proofErr w:type="spellStart"/>
            <w:r w:rsidRPr="00AB1788">
              <w:rPr>
                <w:lang w:val="ro-RO"/>
              </w:rPr>
              <w:t>royalty</w:t>
            </w:r>
            <w:proofErr w:type="spellEnd"/>
            <w:r w:rsidRPr="00AB1788">
              <w:rPr>
                <w:lang w:val="ro-RO"/>
              </w:rPr>
              <w:t xml:space="preserve"> vor suferi semnificativ din cauza impactului asupra fluxului de lichidităţi şi eventualelor costuri suplimentare cu dobânzi din sursele externe de finanţare. Eventuală plata în plus a impozitului pe venit din activitatea de întreprinzător ar putea fi restituită (compensată) doar după 31 martie 2013 (i.e. termen limită privind depunerea Declaraţiei pentru 2012).</w:t>
            </w:r>
          </w:p>
          <w:p w:rsidR="009E2169" w:rsidRPr="00AB1788" w:rsidRDefault="00C847AD" w:rsidP="009E2169">
            <w:pPr>
              <w:spacing w:before="60" w:beforeAutospacing="1" w:afterAutospacing="1"/>
              <w:rPr>
                <w:lang w:val="ro-RO"/>
              </w:rPr>
            </w:pPr>
            <w:r w:rsidRPr="00AB1788">
              <w:rPr>
                <w:lang w:val="ro-RO"/>
              </w:rPr>
              <w:t xml:space="preserve">În consecinţă, sugerăm indicarea expresă în art. 89 alin.(1) al Codului fiscal a faptului că prevederile acestuia nu sunt aplicabile persoanelor rezidente ce practică activitatea de întreprinzător.  </w:t>
            </w:r>
          </w:p>
          <w:p w:rsidR="006F67AD" w:rsidRPr="00AB1788" w:rsidRDefault="006F67AD" w:rsidP="009E2169">
            <w:pPr>
              <w:spacing w:before="60"/>
              <w:rPr>
                <w:lang w:val="ro-RO"/>
              </w:rPr>
            </w:pPr>
          </w:p>
        </w:tc>
      </w:tr>
      <w:tr w:rsidR="006F67AD" w:rsidRPr="00AB1788" w:rsidTr="009E2169">
        <w:tc>
          <w:tcPr>
            <w:tcW w:w="567" w:type="dxa"/>
          </w:tcPr>
          <w:p w:rsidR="006F67AD" w:rsidRPr="00AB1788" w:rsidRDefault="006F67AD" w:rsidP="009E2169">
            <w:pPr>
              <w:rPr>
                <w:lang w:val="ro-RO"/>
              </w:rPr>
            </w:pPr>
          </w:p>
          <w:p w:rsidR="006F67AD" w:rsidRPr="00AB1788" w:rsidRDefault="006F67AD" w:rsidP="009E2169">
            <w:pPr>
              <w:rPr>
                <w:lang w:val="ro-RO"/>
              </w:rPr>
            </w:pPr>
            <w:r w:rsidRPr="00AB1788">
              <w:rPr>
                <w:lang w:val="ro-RO"/>
              </w:rPr>
              <w:t>2</w:t>
            </w:r>
          </w:p>
        </w:tc>
        <w:tc>
          <w:tcPr>
            <w:tcW w:w="2552" w:type="dxa"/>
          </w:tcPr>
          <w:p w:rsidR="006F67AD" w:rsidRPr="00AB1788" w:rsidRDefault="006F67AD" w:rsidP="009E2169">
            <w:pPr>
              <w:rPr>
                <w:lang w:val="ro-RO"/>
              </w:rPr>
            </w:pPr>
          </w:p>
          <w:p w:rsidR="006F67AD" w:rsidRPr="00AB1788" w:rsidRDefault="00C847AD" w:rsidP="009E2169">
            <w:pPr>
              <w:rPr>
                <w:lang w:val="ro-RO"/>
              </w:rPr>
            </w:pPr>
            <w:r w:rsidRPr="00AB1788">
              <w:rPr>
                <w:lang w:val="ro-RO"/>
              </w:rPr>
              <w:t>Art. 20</w:t>
            </w:r>
          </w:p>
          <w:p w:rsidR="006F67AD" w:rsidRDefault="00C847AD" w:rsidP="009E2169">
            <w:pPr>
              <w:rPr>
                <w:lang w:val="ro-RO"/>
              </w:rPr>
            </w:pPr>
            <w:r w:rsidRPr="00AB1788">
              <w:rPr>
                <w:lang w:val="ro-RO"/>
              </w:rPr>
              <w:t>Art. 56 alin. (2) şi (3)</w:t>
            </w:r>
          </w:p>
          <w:p w:rsidR="00F65DD5" w:rsidRPr="00AB1788" w:rsidRDefault="00F65DD5" w:rsidP="009E2169">
            <w:pPr>
              <w:rPr>
                <w:lang w:val="ro-RO"/>
              </w:rPr>
            </w:pPr>
            <w:r>
              <w:rPr>
                <w:lang w:val="ro-RO"/>
              </w:rPr>
              <w:t>Codul fiscal al RM</w:t>
            </w:r>
          </w:p>
          <w:p w:rsidR="006F67AD" w:rsidRPr="00AB1788" w:rsidRDefault="006F67AD" w:rsidP="009E2169">
            <w:pPr>
              <w:rPr>
                <w:lang w:val="ro-RO"/>
              </w:rPr>
            </w:pPr>
          </w:p>
        </w:tc>
        <w:tc>
          <w:tcPr>
            <w:tcW w:w="11974" w:type="dxa"/>
          </w:tcPr>
          <w:p w:rsidR="006F67AD" w:rsidRPr="00AB1788" w:rsidRDefault="006F67AD" w:rsidP="009E2169">
            <w:pPr>
              <w:rPr>
                <w:lang w:val="ro-RO"/>
              </w:rPr>
            </w:pPr>
          </w:p>
          <w:p w:rsidR="006F67AD" w:rsidRPr="00AB1788" w:rsidRDefault="00C847AD" w:rsidP="009E2169">
            <w:pPr>
              <w:rPr>
                <w:spacing w:val="-1"/>
                <w:lang w:val="ro-RO"/>
              </w:rPr>
            </w:pPr>
            <w:r w:rsidRPr="00AB1788">
              <w:rPr>
                <w:lang w:val="ro-RO"/>
              </w:rPr>
              <w:t xml:space="preserve">Propunem </w:t>
            </w:r>
            <w:r w:rsidRPr="00AB1788">
              <w:rPr>
                <w:spacing w:val="-1"/>
                <w:lang w:val="ro-RO"/>
              </w:rPr>
              <w:t>stabilirea expresă în lista surselor de venit neimpozabile din art. 20 al Codului fiscal a unui alineat nou privind dividendele sub formă de acţiuni sau cote părţi care nu modifică cotele de participaţie, astfel cum a fost aplicabil în perioada 1998 - 2011.</w:t>
            </w:r>
          </w:p>
          <w:p w:rsidR="006F67AD" w:rsidRPr="00AB1788" w:rsidRDefault="006F67AD" w:rsidP="009E2169">
            <w:pPr>
              <w:rPr>
                <w:lang w:val="ro-RO"/>
              </w:rPr>
            </w:pPr>
          </w:p>
          <w:p w:rsidR="006F67AD" w:rsidRPr="00AB1788" w:rsidRDefault="00C847AD" w:rsidP="009E2169">
            <w:pPr>
              <w:rPr>
                <w:lang w:val="ro-RO"/>
              </w:rPr>
            </w:pPr>
            <w:r w:rsidRPr="00AB1788">
              <w:rPr>
                <w:lang w:val="ro-RO"/>
              </w:rPr>
              <w:t xml:space="preserve">Considerăm că excluderea prin Legea 267/23.12.2011 a </w:t>
            </w:r>
            <w:r w:rsidR="006F67AD" w:rsidRPr="00AB1788">
              <w:rPr>
                <w:lang w:val="ro-RO"/>
              </w:rPr>
              <w:t xml:space="preserve">prevederilor art. 56, alin. (2) şi (3) nu a fost </w:t>
            </w:r>
            <w:r w:rsidR="002D63C5" w:rsidRPr="00AB1788">
              <w:rPr>
                <w:lang w:val="ro-RO"/>
              </w:rPr>
              <w:t xml:space="preserve">una </w:t>
            </w:r>
            <w:r w:rsidR="006F67AD" w:rsidRPr="00AB1788">
              <w:rPr>
                <w:lang w:val="ro-RO"/>
              </w:rPr>
              <w:t>binevenită, datorită următoarelor argumente:</w:t>
            </w:r>
          </w:p>
          <w:p w:rsidR="006F67AD" w:rsidRPr="00AB1788" w:rsidRDefault="006F67AD" w:rsidP="009E2169">
            <w:pPr>
              <w:rPr>
                <w:lang w:val="ro-RO"/>
              </w:rPr>
            </w:pPr>
          </w:p>
          <w:p w:rsidR="006F67AD" w:rsidRPr="00AB1788" w:rsidRDefault="006F67AD" w:rsidP="009E2169">
            <w:pPr>
              <w:numPr>
                <w:ilvl w:val="0"/>
                <w:numId w:val="1"/>
              </w:numPr>
              <w:rPr>
                <w:lang w:val="ro-RO"/>
              </w:rPr>
            </w:pPr>
            <w:r w:rsidRPr="00AB1788">
              <w:rPr>
                <w:lang w:val="ro-RO"/>
              </w:rPr>
              <w:t>repartizarea dividendelor sub formă de acţiuni reprezintă, în esenţă, o reinvestire a profitului net obţinut de agentul economic în activitatea sa ulterioară. Astfel, capitalul propriu al agentului economic este majorat din contul profitului său şi nu are loc un flux de numerar către acţiona</w:t>
            </w:r>
            <w:r w:rsidR="00C847AD" w:rsidRPr="00AB1788">
              <w:rPr>
                <w:lang w:val="ro-RO"/>
              </w:rPr>
              <w:t xml:space="preserve">ri. Păstrarea prevederilor art. 56, alin. (2) şi (3) în redacţia anului 2011 ar stimula </w:t>
            </w:r>
            <w:r w:rsidR="00C847AD" w:rsidRPr="00AB1788">
              <w:rPr>
                <w:lang w:val="ro-RO"/>
              </w:rPr>
              <w:lastRenderedPageBreak/>
              <w:t>reinvestirea profitului în activitatea agenţilor  economici.</w:t>
            </w:r>
          </w:p>
          <w:p w:rsidR="006F67AD" w:rsidRPr="00AB1788" w:rsidRDefault="00C847AD" w:rsidP="009E2169">
            <w:pPr>
              <w:numPr>
                <w:ilvl w:val="0"/>
                <w:numId w:val="1"/>
              </w:numPr>
              <w:rPr>
                <w:lang w:val="ro-RO"/>
              </w:rPr>
            </w:pPr>
            <w:r w:rsidRPr="00AB1788">
              <w:rPr>
                <w:lang w:val="ro-RO"/>
              </w:rPr>
              <w:t xml:space="preserve">repartizarea dividendelor sub formă de acţiuni şi netaxarea acestora are un efect temporar. Adică, în perioadele de până la 2012, veniturile din dividende obţinute de acţionari nu se supuneau impozitării la momentul distribuirii dividendelor sub formă de acţiuni, ci doar în momentul înstrăinării acţiunilor. Astfel, </w:t>
            </w:r>
            <w:proofErr w:type="spellStart"/>
            <w:r w:rsidRPr="00AB1788">
              <w:rPr>
                <w:lang w:val="ro-RO"/>
              </w:rPr>
              <w:t>panîn</w:t>
            </w:r>
            <w:proofErr w:type="spellEnd"/>
            <w:r w:rsidRPr="00AB1788">
              <w:rPr>
                <w:lang w:val="ro-RO"/>
              </w:rPr>
              <w:t xml:space="preserve"> 2012 acţionarii nu erau scutiţi totalmente de impozitare, iar amânarea de impozitare a fost fi justificată prin stimularea  reinvestirii profitului net în activitatea întreprinderii.</w:t>
            </w:r>
          </w:p>
          <w:p w:rsidR="006F67AD" w:rsidRPr="00AB1788" w:rsidRDefault="006F67AD" w:rsidP="009E2169">
            <w:pPr>
              <w:rPr>
                <w:lang w:val="ro-RO"/>
              </w:rPr>
            </w:pPr>
          </w:p>
          <w:p w:rsidR="00F673B7" w:rsidRPr="00AB1788" w:rsidRDefault="00F673B7" w:rsidP="009E2169">
            <w:pPr>
              <w:rPr>
                <w:lang w:val="ro-RO"/>
              </w:rPr>
            </w:pPr>
          </w:p>
        </w:tc>
      </w:tr>
      <w:tr w:rsidR="00F673B7" w:rsidRPr="00AB1788" w:rsidTr="009E2169">
        <w:tc>
          <w:tcPr>
            <w:tcW w:w="567" w:type="dxa"/>
          </w:tcPr>
          <w:p w:rsidR="00F673B7" w:rsidRPr="00AB1788" w:rsidRDefault="00F673B7" w:rsidP="009E2169">
            <w:pPr>
              <w:rPr>
                <w:lang w:val="ro-RO"/>
              </w:rPr>
            </w:pPr>
            <w:r w:rsidRPr="00AB1788">
              <w:rPr>
                <w:lang w:val="ro-RO"/>
              </w:rPr>
              <w:lastRenderedPageBreak/>
              <w:t>3</w:t>
            </w:r>
          </w:p>
        </w:tc>
        <w:tc>
          <w:tcPr>
            <w:tcW w:w="2552" w:type="dxa"/>
          </w:tcPr>
          <w:p w:rsidR="00F673B7" w:rsidRPr="00AB1788" w:rsidRDefault="00F673B7" w:rsidP="00F673B7">
            <w:pPr>
              <w:rPr>
                <w:lang w:val="ro-RO"/>
              </w:rPr>
            </w:pPr>
            <w:r w:rsidRPr="00AB1788">
              <w:rPr>
                <w:lang w:val="ro-RO"/>
              </w:rPr>
              <w:t xml:space="preserve">Articolul 20. Sursele de venit neimpozabile </w:t>
            </w:r>
          </w:p>
          <w:p w:rsidR="00F673B7" w:rsidRPr="00AB1788" w:rsidRDefault="00F673B7" w:rsidP="00F673B7">
            <w:pPr>
              <w:rPr>
                <w:lang w:val="ro-RO"/>
              </w:rPr>
            </w:pPr>
          </w:p>
          <w:p w:rsidR="00F673B7" w:rsidRPr="00AB1788" w:rsidRDefault="00C847AD" w:rsidP="00F673B7">
            <w:pPr>
              <w:rPr>
                <w:lang w:val="ro-RO"/>
              </w:rPr>
            </w:pPr>
            <w:r w:rsidRPr="00AB1788">
              <w:rPr>
                <w:lang w:val="ro-RO"/>
              </w:rPr>
              <w:t xml:space="preserve">[Lit.p1) a fost exclusă prin Legea nr.267 din 23.12.2011, în vigoare 13.01.2012 se propune a fi reintrodusă] </w:t>
            </w:r>
          </w:p>
          <w:p w:rsidR="00F673B7" w:rsidRPr="00AB1788" w:rsidRDefault="00F673B7" w:rsidP="00F673B7">
            <w:pPr>
              <w:rPr>
                <w:lang w:val="ro-RO"/>
              </w:rPr>
            </w:pPr>
          </w:p>
          <w:p w:rsidR="00F673B7" w:rsidRPr="00AB1788" w:rsidRDefault="00F673B7" w:rsidP="00F673B7">
            <w:pPr>
              <w:rPr>
                <w:lang w:val="ro-RO"/>
              </w:rPr>
            </w:pPr>
          </w:p>
          <w:p w:rsidR="00F673B7" w:rsidRPr="00AB1788" w:rsidRDefault="00F673B7" w:rsidP="00F673B7">
            <w:pPr>
              <w:rPr>
                <w:lang w:val="ro-RO"/>
              </w:rPr>
            </w:pPr>
          </w:p>
        </w:tc>
        <w:tc>
          <w:tcPr>
            <w:tcW w:w="11974" w:type="dxa"/>
          </w:tcPr>
          <w:p w:rsidR="002F4AC5" w:rsidRPr="00AB1788" w:rsidRDefault="002F4AC5" w:rsidP="00F673B7">
            <w:pPr>
              <w:jc w:val="both"/>
              <w:rPr>
                <w:lang w:val="ro-RO"/>
              </w:rPr>
            </w:pPr>
          </w:p>
          <w:p w:rsidR="002F4AC5" w:rsidRPr="00AB1788" w:rsidRDefault="002F4AC5" w:rsidP="002F4AC5">
            <w:pPr>
              <w:pStyle w:val="a8"/>
              <w:numPr>
                <w:ilvl w:val="0"/>
                <w:numId w:val="9"/>
              </w:numPr>
              <w:jc w:val="both"/>
              <w:rPr>
                <w:i/>
                <w:lang w:val="ro-RO"/>
              </w:rPr>
            </w:pPr>
            <w:r w:rsidRPr="00AB1788">
              <w:rPr>
                <w:i/>
                <w:lang w:val="ro-RO"/>
              </w:rPr>
              <w:t>Câştigurile de la campaniile promoţionale</w:t>
            </w:r>
          </w:p>
          <w:p w:rsidR="002F4AC5" w:rsidRPr="00AB1788" w:rsidRDefault="002F4AC5" w:rsidP="00F673B7">
            <w:pPr>
              <w:jc w:val="both"/>
              <w:rPr>
                <w:lang w:val="ro-RO"/>
              </w:rPr>
            </w:pPr>
          </w:p>
          <w:p w:rsidR="00F673B7" w:rsidRPr="00AB1788" w:rsidRDefault="00C847AD" w:rsidP="00F673B7">
            <w:pPr>
              <w:jc w:val="both"/>
              <w:rPr>
                <w:lang w:val="ro-RO"/>
              </w:rPr>
            </w:pPr>
            <w:r w:rsidRPr="00AB1788">
              <w:rPr>
                <w:lang w:val="ro-RO"/>
              </w:rPr>
              <w:t xml:space="preserve">Recomandăm modificarea art. 20 al Codului fiscal prin </w:t>
            </w:r>
            <w:r w:rsidR="00F06271" w:rsidRPr="00AB1788">
              <w:rPr>
                <w:lang w:val="ro-RO"/>
              </w:rPr>
              <w:t xml:space="preserve">reintroducerea unui </w:t>
            </w:r>
            <w:r w:rsidRPr="00AB1788">
              <w:rPr>
                <w:lang w:val="ro-RO"/>
              </w:rPr>
              <w:t xml:space="preserve">anumit </w:t>
            </w:r>
            <w:r w:rsidRPr="00AB1788">
              <w:rPr>
                <w:u w:val="single"/>
                <w:lang w:val="ro-RO"/>
              </w:rPr>
              <w:t xml:space="preserve">plafon minim al fiecărui </w:t>
            </w:r>
            <w:r w:rsidR="00F06271" w:rsidRPr="00AB1788">
              <w:rPr>
                <w:u w:val="single"/>
                <w:lang w:val="ro-RO"/>
              </w:rPr>
              <w:t>câştig</w:t>
            </w:r>
            <w:r w:rsidRPr="00AB1788">
              <w:rPr>
                <w:u w:val="single"/>
                <w:lang w:val="ro-RO"/>
              </w:rPr>
              <w:t xml:space="preserve"> de la campaniile promoţionale</w:t>
            </w:r>
            <w:r w:rsidR="00F06271" w:rsidRPr="00AB1788">
              <w:rPr>
                <w:u w:val="single"/>
                <w:lang w:val="ro-RO"/>
              </w:rPr>
              <w:t xml:space="preserve">, calificând-ul </w:t>
            </w:r>
            <w:r w:rsidRPr="00AB1788">
              <w:rPr>
                <w:u w:val="single"/>
                <w:lang w:val="ro-RO"/>
              </w:rPr>
              <w:t>drept sursă de venit neimpozabil</w:t>
            </w:r>
            <w:r w:rsidRPr="00AB1788">
              <w:rPr>
                <w:lang w:val="ro-RO"/>
              </w:rPr>
              <w:t>, astfel cum a existat în perioada 2006</w:t>
            </w:r>
            <w:r w:rsidRPr="00AB1788">
              <w:rPr>
                <w:rStyle w:val="a5"/>
                <w:rFonts w:cs="Arial"/>
                <w:lang w:val="ro-RO"/>
              </w:rPr>
              <w:footnoteReference w:id="1"/>
            </w:r>
            <w:r w:rsidRPr="00AB1788">
              <w:rPr>
                <w:lang w:val="ro-RO"/>
              </w:rPr>
              <w:t xml:space="preserve"> – 2011 inclusiv</w:t>
            </w:r>
          </w:p>
          <w:p w:rsidR="00F673B7" w:rsidRPr="00AB1788" w:rsidRDefault="00F673B7" w:rsidP="009E2169">
            <w:pPr>
              <w:rPr>
                <w:lang w:val="ro-RO"/>
              </w:rPr>
            </w:pPr>
          </w:p>
          <w:p w:rsidR="00F673B7" w:rsidRPr="00AB1788" w:rsidRDefault="00C847AD" w:rsidP="00F673B7">
            <w:pPr>
              <w:jc w:val="both"/>
              <w:rPr>
                <w:lang w:val="ro-RO"/>
              </w:rPr>
            </w:pPr>
            <w:r w:rsidRPr="00AB1788">
              <w:rPr>
                <w:lang w:val="ro-RO"/>
              </w:rPr>
              <w:t>Considerăm strict necesară reintroducerea plafonului minim neimpozabil pen</w:t>
            </w:r>
            <w:r w:rsidR="00F06271" w:rsidRPr="00AB1788">
              <w:rPr>
                <w:lang w:val="ro-RO"/>
              </w:rPr>
              <w:t>t</w:t>
            </w:r>
            <w:r w:rsidRPr="00AB1788">
              <w:rPr>
                <w:lang w:val="ro-RO"/>
              </w:rPr>
              <w:t xml:space="preserve">ru beneficiarii </w:t>
            </w:r>
            <w:r w:rsidR="00F06271" w:rsidRPr="00AB1788">
              <w:rPr>
                <w:lang w:val="ro-RO"/>
              </w:rPr>
              <w:t>câştigurilor</w:t>
            </w:r>
            <w:r w:rsidRPr="00AB1788">
              <w:rPr>
                <w:lang w:val="ro-RO"/>
              </w:rPr>
              <w:t xml:space="preserve"> de la campaniile promoţionale </w:t>
            </w:r>
            <w:r w:rsidR="00F06271" w:rsidRPr="00AB1788">
              <w:rPr>
                <w:lang w:val="ro-RO"/>
              </w:rPr>
              <w:t>având</w:t>
            </w:r>
            <w:r w:rsidRPr="00AB1788">
              <w:rPr>
                <w:lang w:val="ro-RO"/>
              </w:rPr>
              <w:t xml:space="preserve"> in vedere următoarele.</w:t>
            </w:r>
          </w:p>
          <w:p w:rsidR="00F673B7" w:rsidRPr="00AB1788" w:rsidRDefault="00F673B7" w:rsidP="00F673B7">
            <w:pPr>
              <w:jc w:val="both"/>
              <w:rPr>
                <w:lang w:val="ro-RO"/>
              </w:rPr>
            </w:pPr>
          </w:p>
          <w:p w:rsidR="00F673B7" w:rsidRPr="00AB1788" w:rsidRDefault="00C847AD" w:rsidP="00F673B7">
            <w:pPr>
              <w:jc w:val="both"/>
              <w:rPr>
                <w:lang w:val="ro-RO"/>
              </w:rPr>
            </w:pPr>
            <w:r w:rsidRPr="00AB1788">
              <w:rPr>
                <w:lang w:val="ro-RO"/>
              </w:rPr>
              <w:t>Potrivit prevederilor art. 5 pct. 38) al Codului fiscal c</w:t>
            </w:r>
            <w:r w:rsidRPr="00AB1788">
              <w:rPr>
                <w:i/>
                <w:iCs/>
                <w:lang w:val="ro-RO"/>
              </w:rPr>
              <w:t>ampania promoţională</w:t>
            </w:r>
            <w:r w:rsidRPr="00AB1788">
              <w:rPr>
                <w:lang w:val="ro-RO"/>
              </w:rPr>
              <w:t xml:space="preserve">  reprezintă modalitatea de promovare a </w:t>
            </w:r>
            <w:proofErr w:type="spellStart"/>
            <w:r w:rsidRPr="00AB1788">
              <w:rPr>
                <w:lang w:val="ro-RO"/>
              </w:rPr>
              <w:t>vînzărilor</w:t>
            </w:r>
            <w:proofErr w:type="spellEnd"/>
            <w:r w:rsidRPr="00AB1788">
              <w:rPr>
                <w:lang w:val="ro-RO"/>
              </w:rPr>
              <w:t xml:space="preserve"> prin organizarea de concursuri, jocuri, loterii anunţate public şi desfăşurate pe o perioadă de timp limitată, cu acordarea de cadouri, premii, </w:t>
            </w:r>
            <w:r w:rsidR="00B3375A" w:rsidRPr="00AB1788">
              <w:rPr>
                <w:lang w:val="ro-RO"/>
              </w:rPr>
              <w:t>câştiguri</w:t>
            </w:r>
            <w:r w:rsidRPr="00AB1788">
              <w:rPr>
                <w:lang w:val="ro-RO"/>
              </w:rPr>
              <w:t>.</w:t>
            </w:r>
          </w:p>
          <w:p w:rsidR="00F673B7" w:rsidRPr="00AB1788" w:rsidRDefault="00F673B7" w:rsidP="00F673B7">
            <w:pPr>
              <w:jc w:val="both"/>
              <w:rPr>
                <w:lang w:val="ro-RO"/>
              </w:rPr>
            </w:pPr>
          </w:p>
          <w:p w:rsidR="00F673B7" w:rsidRPr="00AB1788" w:rsidRDefault="00C847AD" w:rsidP="00F673B7">
            <w:pPr>
              <w:rPr>
                <w:lang w:val="ro-RO"/>
              </w:rPr>
            </w:pPr>
            <w:r w:rsidRPr="00AB1788">
              <w:rPr>
                <w:lang w:val="ro-RO"/>
              </w:rPr>
              <w:t xml:space="preserve">Legea </w:t>
            </w:r>
            <w:hyperlink r:id="rId8" w:history="1">
              <w:r w:rsidRPr="00AB1788">
                <w:rPr>
                  <w:lang w:val="ro-RO"/>
                </w:rPr>
                <w:t xml:space="preserve"> nr.267 din 23 decembrie 2011</w:t>
              </w:r>
            </w:hyperlink>
            <w:r w:rsidRPr="00AB1788">
              <w:rPr>
                <w:lang w:val="ro-RO"/>
              </w:rPr>
              <w:t xml:space="preserve"> a modificat substanţial redacţia art. 20 al Codului fiscal </w:t>
            </w:r>
            <w:r w:rsidRPr="00AB1788">
              <w:rPr>
                <w:u w:val="single"/>
                <w:lang w:val="ro-RO"/>
              </w:rPr>
              <w:t>prin excluderea</w:t>
            </w:r>
            <w:r w:rsidRPr="00AB1788">
              <w:rPr>
                <w:lang w:val="ro-RO"/>
              </w:rPr>
              <w:t xml:space="preserve"> </w:t>
            </w:r>
            <w:proofErr w:type="spellStart"/>
            <w:r w:rsidRPr="00AB1788">
              <w:rPr>
                <w:lang w:val="ro-RO"/>
              </w:rPr>
              <w:t>lit</w:t>
            </w:r>
            <w:proofErr w:type="spellEnd"/>
            <w:r w:rsidRPr="00AB1788">
              <w:rPr>
                <w:lang w:val="ro-RO"/>
              </w:rPr>
              <w:t xml:space="preserve"> </w:t>
            </w:r>
            <w:r w:rsidRPr="00AB1788">
              <w:rPr>
                <w:i/>
                <w:iCs/>
                <w:lang w:val="ro-RO"/>
              </w:rPr>
              <w:t>p</w:t>
            </w:r>
            <w:r w:rsidRPr="00AB1788">
              <w:rPr>
                <w:i/>
                <w:iCs/>
                <w:vertAlign w:val="superscript"/>
                <w:lang w:val="ro-RO"/>
              </w:rPr>
              <w:t>1</w:t>
            </w:r>
            <w:r w:rsidRPr="00AB1788">
              <w:rPr>
                <w:lang w:val="ro-RO"/>
              </w:rPr>
              <w:t>) care stabilea anterior în perioada 2006 – 2011 un anumit plafon minim de s</w:t>
            </w:r>
            <w:r w:rsidR="00874131">
              <w:rPr>
                <w:lang w:val="ro-RO"/>
              </w:rPr>
              <w:t xml:space="preserve">cutire de impozit pe venit al </w:t>
            </w:r>
            <w:proofErr w:type="spellStart"/>
            <w:r w:rsidR="00874131">
              <w:rPr>
                <w:lang w:val="ro-RO"/>
              </w:rPr>
              <w:t>cî</w:t>
            </w:r>
            <w:r w:rsidRPr="00AB1788">
              <w:rPr>
                <w:lang w:val="ro-RO"/>
              </w:rPr>
              <w:t>ştigurilor</w:t>
            </w:r>
            <w:proofErr w:type="spellEnd"/>
            <w:r w:rsidRPr="00AB1788">
              <w:rPr>
                <w:lang w:val="ro-RO"/>
              </w:rPr>
              <w:t xml:space="preserve"> de la campaniile promoţionale, </w:t>
            </w:r>
            <w:r w:rsidRPr="00AB1788">
              <w:rPr>
                <w:u w:val="single"/>
                <w:lang w:val="ro-RO"/>
              </w:rPr>
              <w:t>şi anume, în partea în care valoarea fiecărui c</w:t>
            </w:r>
            <w:r w:rsidR="00781AAB" w:rsidRPr="00AB1788">
              <w:rPr>
                <w:u w:val="single"/>
                <w:lang w:val="ro-RO"/>
              </w:rPr>
              <w:t>â</w:t>
            </w:r>
            <w:r w:rsidRPr="00AB1788">
              <w:rPr>
                <w:u w:val="single"/>
                <w:lang w:val="ro-RO"/>
              </w:rPr>
              <w:t>ştig nu depăşea 10% din valoarea scutirii personale anuale (indicator stabilit la art.33 alin.(1) al Codului fiscal).</w:t>
            </w:r>
            <w:r w:rsidRPr="00AB1788">
              <w:rPr>
                <w:lang w:val="ro-RO"/>
              </w:rPr>
              <w:t xml:space="preserve">  În mod particular, scutirea personală anuală pentru 2011 a constituit MDL 8,100. Respectiv, în perioada fiscală 2011 c</w:t>
            </w:r>
            <w:r w:rsidR="00781AAB" w:rsidRPr="00AB1788">
              <w:rPr>
                <w:lang w:val="ro-RO"/>
              </w:rPr>
              <w:t>â</w:t>
            </w:r>
            <w:r w:rsidRPr="00AB1788">
              <w:rPr>
                <w:lang w:val="ro-RO"/>
              </w:rPr>
              <w:t xml:space="preserve">ştigurile mai mici de </w:t>
            </w:r>
            <w:r w:rsidRPr="00AB1788">
              <w:rPr>
                <w:b/>
                <w:lang w:val="ro-RO"/>
              </w:rPr>
              <w:t>MDL 810</w:t>
            </w:r>
            <w:r w:rsidRPr="00AB1788">
              <w:rPr>
                <w:lang w:val="ro-RO"/>
              </w:rPr>
              <w:t xml:space="preserve"> au fost:</w:t>
            </w:r>
          </w:p>
          <w:p w:rsidR="00F673B7" w:rsidRPr="00AB1788" w:rsidRDefault="00F673B7" w:rsidP="00F673B7">
            <w:pPr>
              <w:rPr>
                <w:lang w:val="ro-RO"/>
              </w:rPr>
            </w:pPr>
          </w:p>
          <w:p w:rsidR="00F673B7" w:rsidRPr="00AB1788" w:rsidRDefault="00C847AD" w:rsidP="00F673B7">
            <w:pPr>
              <w:pStyle w:val="a8"/>
              <w:widowControl/>
              <w:numPr>
                <w:ilvl w:val="0"/>
                <w:numId w:val="7"/>
              </w:numPr>
              <w:autoSpaceDE/>
              <w:autoSpaceDN/>
              <w:adjustRightInd/>
              <w:rPr>
                <w:lang w:val="ro-RO"/>
              </w:rPr>
            </w:pPr>
            <w:r w:rsidRPr="00AB1788">
              <w:rPr>
                <w:lang w:val="ro-RO"/>
              </w:rPr>
              <w:t>neimpozabile pentru beneficiari (</w:t>
            </w:r>
            <w:proofErr w:type="spellStart"/>
            <w:r w:rsidRPr="00AB1788">
              <w:rPr>
                <w:lang w:val="ro-RO"/>
              </w:rPr>
              <w:t>c</w:t>
            </w:r>
            <w:r w:rsidR="00874131">
              <w:rPr>
                <w:lang w:val="ro-RO"/>
              </w:rPr>
              <w:t>î</w:t>
            </w:r>
            <w:r w:rsidRPr="00AB1788">
              <w:rPr>
                <w:lang w:val="ro-RO"/>
              </w:rPr>
              <w:t>ştigători</w:t>
            </w:r>
            <w:proofErr w:type="spellEnd"/>
            <w:r w:rsidRPr="00AB1788">
              <w:rPr>
                <w:lang w:val="ro-RO"/>
              </w:rPr>
              <w:t>)</w:t>
            </w:r>
          </w:p>
          <w:p w:rsidR="00F673B7" w:rsidRPr="00AB1788" w:rsidRDefault="00C847AD" w:rsidP="00F673B7">
            <w:pPr>
              <w:pStyle w:val="a8"/>
              <w:widowControl/>
              <w:numPr>
                <w:ilvl w:val="0"/>
                <w:numId w:val="7"/>
              </w:numPr>
              <w:autoSpaceDE/>
              <w:autoSpaceDN/>
              <w:adjustRightInd/>
              <w:rPr>
                <w:lang w:val="ro-RO"/>
              </w:rPr>
            </w:pPr>
            <w:r w:rsidRPr="00AB1788">
              <w:rPr>
                <w:lang w:val="ro-RO"/>
              </w:rPr>
              <w:t xml:space="preserve">netaxabile la sursa de plată cu impozit pe venit de 10% în baza art. </w:t>
            </w:r>
            <w:r w:rsidRPr="00AB1788">
              <w:rPr>
                <w:bCs/>
                <w:lang w:val="ro-RO"/>
              </w:rPr>
              <w:t>90</w:t>
            </w:r>
            <w:r w:rsidRPr="00AB1788">
              <w:rPr>
                <w:bCs/>
                <w:vertAlign w:val="superscript"/>
                <w:lang w:val="ro-RO"/>
              </w:rPr>
              <w:t>1</w:t>
            </w:r>
            <w:r w:rsidRPr="00AB1788">
              <w:rPr>
                <w:bCs/>
                <w:lang w:val="ro-RO"/>
              </w:rPr>
              <w:t xml:space="preserve"> alin. (2) </w:t>
            </w:r>
            <w:r w:rsidRPr="00AB1788">
              <w:rPr>
                <w:lang w:val="ro-RO"/>
              </w:rPr>
              <w:t>al Codului fiscal</w:t>
            </w:r>
          </w:p>
          <w:p w:rsidR="00F673B7" w:rsidRPr="00AB1788" w:rsidRDefault="00F673B7" w:rsidP="00F673B7">
            <w:pPr>
              <w:rPr>
                <w:vertAlign w:val="subscript"/>
                <w:lang w:val="ro-RO"/>
              </w:rPr>
            </w:pPr>
          </w:p>
          <w:p w:rsidR="00F673B7" w:rsidRPr="00AB1788" w:rsidRDefault="00C847AD" w:rsidP="00F673B7">
            <w:pPr>
              <w:jc w:val="both"/>
              <w:rPr>
                <w:bCs/>
                <w:vertAlign w:val="superscript"/>
                <w:lang w:val="ro-RO"/>
              </w:rPr>
            </w:pPr>
            <w:proofErr w:type="spellStart"/>
            <w:r w:rsidRPr="00AB1788">
              <w:rPr>
                <w:lang w:val="ro-RO"/>
              </w:rPr>
              <w:t>Avand</w:t>
            </w:r>
            <w:proofErr w:type="spellEnd"/>
            <w:r w:rsidRPr="00AB1788">
              <w:rPr>
                <w:lang w:val="ro-RO"/>
              </w:rPr>
              <w:t xml:space="preserve"> în vedere excluderea acestei surse de venit neimpozabile, valoarea oricăror </w:t>
            </w:r>
            <w:proofErr w:type="spellStart"/>
            <w:r w:rsidRPr="00AB1788">
              <w:rPr>
                <w:lang w:val="ro-RO"/>
              </w:rPr>
              <w:t>cîştiguri</w:t>
            </w:r>
            <w:proofErr w:type="spellEnd"/>
            <w:r w:rsidRPr="00AB1788">
              <w:rPr>
                <w:lang w:val="ro-RO"/>
              </w:rPr>
              <w:t xml:space="preserve"> urmează a fi impozitate la sursa de plată conform cerinţelor standard din art. </w:t>
            </w:r>
            <w:r w:rsidRPr="00AB1788">
              <w:rPr>
                <w:bCs/>
                <w:lang w:val="ro-RO"/>
              </w:rPr>
              <w:t>90</w:t>
            </w:r>
            <w:r w:rsidRPr="00AB1788">
              <w:rPr>
                <w:bCs/>
                <w:vertAlign w:val="superscript"/>
                <w:lang w:val="ro-RO"/>
              </w:rPr>
              <w:t xml:space="preserve">1 </w:t>
            </w:r>
            <w:r w:rsidRPr="00AB1788">
              <w:rPr>
                <w:lang w:val="ro-RO"/>
              </w:rPr>
              <w:t xml:space="preserve">al Codului fiscal. </w:t>
            </w:r>
          </w:p>
          <w:p w:rsidR="00F673B7" w:rsidRPr="00AB1788" w:rsidRDefault="00F673B7" w:rsidP="00F673B7">
            <w:pPr>
              <w:jc w:val="both"/>
              <w:rPr>
                <w:lang w:val="ro-RO"/>
              </w:rPr>
            </w:pPr>
          </w:p>
          <w:p w:rsidR="00F673B7" w:rsidRPr="00AB1788" w:rsidRDefault="00C847AD" w:rsidP="00F673B7">
            <w:pPr>
              <w:jc w:val="both"/>
              <w:rPr>
                <w:lang w:val="ro-RO"/>
              </w:rPr>
            </w:pPr>
            <w:r w:rsidRPr="00AB1788">
              <w:rPr>
                <w:lang w:val="ro-RO"/>
              </w:rPr>
              <w:t xml:space="preserve">Totuşi, în condiţiile în care </w:t>
            </w:r>
            <w:r w:rsidRPr="00AB1788">
              <w:rPr>
                <w:i/>
                <w:lang w:val="ro-RO"/>
              </w:rPr>
              <w:t>(i)</w:t>
            </w:r>
            <w:r w:rsidRPr="00AB1788">
              <w:rPr>
                <w:lang w:val="ro-RO"/>
              </w:rPr>
              <w:t xml:space="preserve"> această impozitare este una finală scutind beneficiarul de la includerea acestor surse în componenţa veniturilor brute şi de la de</w:t>
            </w:r>
            <w:r w:rsidR="00560DF4">
              <w:rPr>
                <w:lang w:val="ro-RO"/>
              </w:rPr>
              <w:t xml:space="preserve">clararea acestora, precum şi </w:t>
            </w:r>
            <w:proofErr w:type="spellStart"/>
            <w:r w:rsidR="00560DF4">
              <w:rPr>
                <w:lang w:val="ro-RO"/>
              </w:rPr>
              <w:t>avî</w:t>
            </w:r>
            <w:r w:rsidRPr="00AB1788">
              <w:rPr>
                <w:lang w:val="ro-RO"/>
              </w:rPr>
              <w:t>nd</w:t>
            </w:r>
            <w:proofErr w:type="spellEnd"/>
            <w:r w:rsidRPr="00AB1788">
              <w:rPr>
                <w:lang w:val="ro-RO"/>
              </w:rPr>
              <w:t xml:space="preserve"> în vedere faptul că </w:t>
            </w:r>
            <w:r w:rsidRPr="00AB1788">
              <w:rPr>
                <w:i/>
                <w:lang w:val="ro-RO"/>
              </w:rPr>
              <w:t>(ii)</w:t>
            </w:r>
            <w:r w:rsidRPr="00AB1788">
              <w:rPr>
                <w:lang w:val="ro-RO"/>
              </w:rPr>
              <w:t xml:space="preserve"> în majoritatea cazurilor organizatorii acestor campanii promoţionale </w:t>
            </w:r>
            <w:r w:rsidR="00560DF4">
              <w:rPr>
                <w:lang w:val="ro-RO"/>
              </w:rPr>
              <w:t>nu cunosc date exacte privind câştigă</w:t>
            </w:r>
            <w:r w:rsidR="00560DF4" w:rsidRPr="00AB1788">
              <w:rPr>
                <w:lang w:val="ro-RO"/>
              </w:rPr>
              <w:t>torii</w:t>
            </w:r>
            <w:r w:rsidRPr="00AB1788">
              <w:rPr>
                <w:lang w:val="ro-RO"/>
              </w:rPr>
              <w:t xml:space="preserve"> (ex. aceste evenimente fiind organizate direct în magazine, alte locuri publice), agenţii economici vor fi nevoiţi să calculeze impozitul datorat prin metoda inversă, </w:t>
            </w:r>
            <w:proofErr w:type="spellStart"/>
            <w:r w:rsidRPr="00AB1788">
              <w:rPr>
                <w:lang w:val="ro-RO"/>
              </w:rPr>
              <w:t>suportînd</w:t>
            </w:r>
            <w:proofErr w:type="spellEnd"/>
            <w:r w:rsidRPr="00AB1788">
              <w:rPr>
                <w:lang w:val="ro-RO"/>
              </w:rPr>
              <w:t xml:space="preserve"> astfel cheltuielile aferente din surse proprii. Mai mult </w:t>
            </w:r>
            <w:proofErr w:type="spellStart"/>
            <w:r w:rsidRPr="00AB1788">
              <w:rPr>
                <w:lang w:val="ro-RO"/>
              </w:rPr>
              <w:t>decat</w:t>
            </w:r>
            <w:proofErr w:type="spellEnd"/>
            <w:r w:rsidRPr="00AB1788">
              <w:rPr>
                <w:lang w:val="ro-RO"/>
              </w:rPr>
              <w:t xml:space="preserve"> </w:t>
            </w:r>
            <w:proofErr w:type="spellStart"/>
            <w:r w:rsidRPr="00AB1788">
              <w:rPr>
                <w:lang w:val="ro-RO"/>
              </w:rPr>
              <w:t>atat</w:t>
            </w:r>
            <w:proofErr w:type="spellEnd"/>
            <w:r w:rsidRPr="00AB1788">
              <w:rPr>
                <w:lang w:val="ro-RO"/>
              </w:rPr>
              <w:t xml:space="preserve"> aceste cheltuieli vor fi calificate drept nedeductibile pentru scopurile impozitului pe venit din activitatea de întreprinzător, deoarece ar reprezenta impozitul plătit în numele altor persoane (art.30 alin. (1) al Codului fiscal).</w:t>
            </w:r>
          </w:p>
          <w:p w:rsidR="00F673B7" w:rsidRPr="00AB1788" w:rsidRDefault="00F673B7" w:rsidP="00F673B7">
            <w:pPr>
              <w:jc w:val="both"/>
              <w:rPr>
                <w:lang w:val="ro-RO"/>
              </w:rPr>
            </w:pPr>
          </w:p>
          <w:p w:rsidR="00F673B7" w:rsidRPr="00AB1788" w:rsidRDefault="00C847AD" w:rsidP="00F673B7">
            <w:pPr>
              <w:jc w:val="both"/>
              <w:rPr>
                <w:lang w:val="ro-RO"/>
              </w:rPr>
            </w:pPr>
            <w:r w:rsidRPr="00AB1788">
              <w:rPr>
                <w:lang w:val="ro-RO"/>
              </w:rPr>
              <w:t xml:space="preserve">În viziunea noastră, excluderea în baza Legii </w:t>
            </w:r>
            <w:hyperlink r:id="rId9" w:history="1">
              <w:r w:rsidRPr="00AB1788">
                <w:rPr>
                  <w:lang w:val="ro-RO"/>
                </w:rPr>
                <w:t xml:space="preserve"> nr.267 din 23 decembrie 2011</w:t>
              </w:r>
            </w:hyperlink>
            <w:r w:rsidRPr="00AB1788">
              <w:rPr>
                <w:lang w:val="ro-RO"/>
              </w:rPr>
              <w:t xml:space="preserve"> din redacţia art. 20 al Codului fiscal a </w:t>
            </w:r>
            <w:proofErr w:type="spellStart"/>
            <w:r w:rsidRPr="00AB1788">
              <w:rPr>
                <w:lang w:val="ro-RO"/>
              </w:rPr>
              <w:t>lit</w:t>
            </w:r>
            <w:proofErr w:type="spellEnd"/>
            <w:r w:rsidRPr="00AB1788">
              <w:rPr>
                <w:lang w:val="ro-RO"/>
              </w:rPr>
              <w:t xml:space="preserve"> </w:t>
            </w:r>
            <w:r w:rsidRPr="00AB1788">
              <w:rPr>
                <w:i/>
                <w:iCs/>
                <w:lang w:val="ro-RO"/>
              </w:rPr>
              <w:t>p</w:t>
            </w:r>
            <w:r w:rsidRPr="00AB1788">
              <w:rPr>
                <w:i/>
                <w:iCs/>
                <w:vertAlign w:val="superscript"/>
                <w:lang w:val="ro-RO"/>
              </w:rPr>
              <w:t>1</w:t>
            </w:r>
            <w:r w:rsidRPr="00AB1788">
              <w:rPr>
                <w:lang w:val="ro-RO"/>
              </w:rPr>
              <w:t>) va genera:</w:t>
            </w:r>
          </w:p>
          <w:p w:rsidR="00F673B7" w:rsidRPr="00AB1788" w:rsidRDefault="00F673B7" w:rsidP="00F673B7">
            <w:pPr>
              <w:jc w:val="both"/>
              <w:rPr>
                <w:lang w:val="ro-RO"/>
              </w:rPr>
            </w:pPr>
          </w:p>
          <w:p w:rsidR="00F673B7" w:rsidRPr="00AB1788" w:rsidRDefault="00560DF4" w:rsidP="00F673B7">
            <w:pPr>
              <w:pStyle w:val="a8"/>
              <w:widowControl/>
              <w:numPr>
                <w:ilvl w:val="0"/>
                <w:numId w:val="8"/>
              </w:numPr>
              <w:autoSpaceDE/>
              <w:autoSpaceDN/>
              <w:adjustRightInd/>
              <w:jc w:val="both"/>
              <w:rPr>
                <w:lang w:val="ro-RO"/>
              </w:rPr>
            </w:pPr>
            <w:r>
              <w:rPr>
                <w:lang w:val="ro-RO"/>
              </w:rPr>
              <w:t xml:space="preserve">o sarcina </w:t>
            </w:r>
            <w:proofErr w:type="spellStart"/>
            <w:r>
              <w:rPr>
                <w:lang w:val="ro-RO"/>
              </w:rPr>
              <w:t>adminstrativă</w:t>
            </w:r>
            <w:proofErr w:type="spellEnd"/>
            <w:r w:rsidR="00C847AD" w:rsidRPr="00AB1788">
              <w:rPr>
                <w:lang w:val="ro-RO"/>
              </w:rPr>
              <w:t xml:space="preserve"> suplimentară pentru Companiile organizatoare de campanii promoţionale (i.e. costuri administrative privind documentarea, </w:t>
            </w:r>
            <w:r w:rsidR="00B3375A" w:rsidRPr="00AB1788">
              <w:rPr>
                <w:lang w:val="ro-RO"/>
              </w:rPr>
              <w:t xml:space="preserve">impozitarea </w:t>
            </w:r>
            <w:r w:rsidR="00C847AD" w:rsidRPr="00AB1788">
              <w:rPr>
                <w:lang w:val="ro-RO"/>
              </w:rPr>
              <w:t xml:space="preserve">şi raportarea fiscală </w:t>
            </w:r>
            <w:r w:rsidR="00B3375A" w:rsidRPr="00AB1788">
              <w:rPr>
                <w:lang w:val="ro-RO"/>
              </w:rPr>
              <w:t>indiferent</w:t>
            </w:r>
            <w:r w:rsidR="00C847AD" w:rsidRPr="00AB1788">
              <w:rPr>
                <w:lang w:val="ro-RO"/>
              </w:rPr>
              <w:t xml:space="preserve"> de valoarea </w:t>
            </w:r>
            <w:r w:rsidR="00B3375A" w:rsidRPr="00AB1788">
              <w:rPr>
                <w:lang w:val="ro-RO"/>
              </w:rPr>
              <w:t>câştigurilor</w:t>
            </w:r>
            <w:r w:rsidR="00C847AD" w:rsidRPr="00AB1788">
              <w:rPr>
                <w:lang w:val="ro-RO"/>
              </w:rPr>
              <w:t>, resurse de timp şi personal),</w:t>
            </w:r>
          </w:p>
          <w:p w:rsidR="00F673B7" w:rsidRPr="00AB1788" w:rsidRDefault="00C847AD" w:rsidP="00F673B7">
            <w:pPr>
              <w:pStyle w:val="a8"/>
              <w:widowControl/>
              <w:numPr>
                <w:ilvl w:val="0"/>
                <w:numId w:val="8"/>
              </w:numPr>
              <w:autoSpaceDE/>
              <w:autoSpaceDN/>
              <w:adjustRightInd/>
              <w:jc w:val="both"/>
              <w:rPr>
                <w:lang w:val="ro-RO"/>
              </w:rPr>
            </w:pPr>
            <w:r w:rsidRPr="00AB1788">
              <w:rPr>
                <w:lang w:val="ro-RO"/>
              </w:rPr>
              <w:t>costuri pentru autorităţile fiscale privind administrarea şi controlul la acest capitol.</w:t>
            </w:r>
          </w:p>
          <w:p w:rsidR="00F673B7" w:rsidRPr="00AB1788" w:rsidRDefault="00F673B7" w:rsidP="00F673B7">
            <w:pPr>
              <w:pStyle w:val="a8"/>
              <w:jc w:val="both"/>
              <w:rPr>
                <w:lang w:val="ro-RO"/>
              </w:rPr>
            </w:pPr>
          </w:p>
          <w:p w:rsidR="00F673B7" w:rsidRPr="00AB1788" w:rsidRDefault="00C847AD" w:rsidP="00F673B7">
            <w:pPr>
              <w:jc w:val="both"/>
              <w:rPr>
                <w:lang w:val="ro-RO"/>
              </w:rPr>
            </w:pPr>
            <w:r w:rsidRPr="00AB1788">
              <w:rPr>
                <w:lang w:val="ro-RO"/>
              </w:rPr>
              <w:t xml:space="preserve">Credem că încă în anul 2005, </w:t>
            </w:r>
            <w:r w:rsidR="00B3375A" w:rsidRPr="00AB1788">
              <w:rPr>
                <w:lang w:val="ro-RO"/>
              </w:rPr>
              <w:t>când</w:t>
            </w:r>
            <w:r w:rsidR="00560DF4">
              <w:rPr>
                <w:lang w:val="ro-RO"/>
              </w:rPr>
              <w:t xml:space="preserve"> Parlamentu</w:t>
            </w:r>
            <w:r w:rsidRPr="00AB1788">
              <w:rPr>
                <w:lang w:val="ro-RO"/>
              </w:rPr>
              <w:t xml:space="preserve">l a aprobat prin Legea nr. 154-XVI  din  21.07.2005 </w:t>
            </w:r>
            <w:proofErr w:type="spellStart"/>
            <w:r w:rsidRPr="00AB1788">
              <w:rPr>
                <w:lang w:val="ro-RO"/>
              </w:rPr>
              <w:t>întroducerea</w:t>
            </w:r>
            <w:proofErr w:type="spellEnd"/>
            <w:r w:rsidRPr="00AB1788">
              <w:rPr>
                <w:lang w:val="ro-RO"/>
              </w:rPr>
              <w:t xml:space="preserve"> plafonului minim neimpozabil, a fost analizat şi recunoscut </w:t>
            </w:r>
            <w:r w:rsidR="00B3375A" w:rsidRPr="00AB1788">
              <w:rPr>
                <w:lang w:val="ro-RO"/>
              </w:rPr>
              <w:t xml:space="preserve">drept justificat prin </w:t>
            </w:r>
            <w:r w:rsidRPr="00AB1788">
              <w:rPr>
                <w:lang w:val="ro-RO"/>
              </w:rPr>
              <w:t xml:space="preserve">faptul ca cheltuielile administrative ale statului </w:t>
            </w:r>
            <w:r w:rsidRPr="00AB1788">
              <w:rPr>
                <w:u w:val="single"/>
                <w:lang w:val="ro-RO"/>
              </w:rPr>
              <w:t>versus</w:t>
            </w:r>
            <w:r w:rsidRPr="00AB1788">
              <w:rPr>
                <w:lang w:val="ro-RO"/>
              </w:rPr>
              <w:t xml:space="preserve"> încasările impozitului aferente acestor venituri (sub plafonul stabilit drept neimpozabil) nu vor genera avantaje raţionale </w:t>
            </w:r>
            <w:r w:rsidR="00B3375A" w:rsidRPr="00AB1788">
              <w:rPr>
                <w:lang w:val="ro-RO"/>
              </w:rPr>
              <w:t>atât</w:t>
            </w:r>
            <w:r w:rsidRPr="00AB1788">
              <w:rPr>
                <w:lang w:val="ro-RO"/>
              </w:rPr>
              <w:t xml:space="preserve"> pentru stat </w:t>
            </w:r>
            <w:proofErr w:type="spellStart"/>
            <w:r w:rsidRPr="00AB1788">
              <w:rPr>
                <w:lang w:val="ro-RO"/>
              </w:rPr>
              <w:t>cît</w:t>
            </w:r>
            <w:proofErr w:type="spellEnd"/>
            <w:r w:rsidRPr="00AB1788">
              <w:rPr>
                <w:lang w:val="ro-RO"/>
              </w:rPr>
              <w:t xml:space="preserve"> şi pentru mediul de afaceri.</w:t>
            </w:r>
          </w:p>
          <w:p w:rsidR="00F673B7" w:rsidRPr="00AB1788" w:rsidRDefault="00F673B7" w:rsidP="00F673B7">
            <w:pPr>
              <w:jc w:val="both"/>
              <w:rPr>
                <w:lang w:val="ro-RO"/>
              </w:rPr>
            </w:pPr>
          </w:p>
          <w:p w:rsidR="00F673B7" w:rsidRPr="00AB1788" w:rsidRDefault="00C847AD" w:rsidP="00F673B7">
            <w:pPr>
              <w:jc w:val="both"/>
              <w:rPr>
                <w:lang w:val="ro-RO"/>
              </w:rPr>
            </w:pPr>
            <w:r w:rsidRPr="00AB1788">
              <w:rPr>
                <w:lang w:val="ro-RO"/>
              </w:rPr>
              <w:t xml:space="preserve">Este remarcabilă şi practica internaţională la acest subiect. Astfel, conform prevederilor legislaţiei fiscale a Federaţiei Ruse din 2012 valoarea anuală a </w:t>
            </w:r>
            <w:r w:rsidR="00B3375A" w:rsidRPr="00AB1788">
              <w:rPr>
                <w:lang w:val="ro-RO"/>
              </w:rPr>
              <w:t>câştigurilor</w:t>
            </w:r>
            <w:r w:rsidRPr="00AB1788">
              <w:rPr>
                <w:lang w:val="ro-RO"/>
              </w:rPr>
              <w:t xml:space="preserve"> de la acţiunile promoţionale care nu depăşeşte </w:t>
            </w:r>
            <w:r w:rsidR="00B3375A" w:rsidRPr="00AB1788">
              <w:rPr>
                <w:b/>
                <w:lang w:val="ro-RO"/>
              </w:rPr>
              <w:t>4,000 ruble</w:t>
            </w:r>
            <w:r w:rsidRPr="00AB1788">
              <w:rPr>
                <w:b/>
                <w:lang w:val="ro-RO"/>
              </w:rPr>
              <w:t xml:space="preserve"> (aprox. MDL 1,600)</w:t>
            </w:r>
            <w:r w:rsidRPr="00AB1788">
              <w:rPr>
                <w:lang w:val="ro-RO"/>
              </w:rPr>
              <w:t xml:space="preserve"> se consideră drept venit neimpozabil. La </w:t>
            </w:r>
            <w:proofErr w:type="spellStart"/>
            <w:r w:rsidRPr="00AB1788">
              <w:rPr>
                <w:lang w:val="ro-RO"/>
              </w:rPr>
              <w:t>rîndul</w:t>
            </w:r>
            <w:proofErr w:type="spellEnd"/>
            <w:r w:rsidRPr="00AB1788">
              <w:rPr>
                <w:lang w:val="ro-RO"/>
              </w:rPr>
              <w:t xml:space="preserve"> său legislaţia fiscală a </w:t>
            </w:r>
            <w:proofErr w:type="spellStart"/>
            <w:r w:rsidRPr="00AB1788">
              <w:rPr>
                <w:lang w:val="ro-RO"/>
              </w:rPr>
              <w:t>Romaniei</w:t>
            </w:r>
            <w:proofErr w:type="spellEnd"/>
            <w:r w:rsidRPr="00AB1788">
              <w:rPr>
                <w:lang w:val="ro-RO"/>
              </w:rPr>
              <w:t xml:space="preserve"> stabileşte drept sursă de venit neimpozabil - veniturile obţinute din premii promoţionale, în bani şi/sau în natură, sub valoarea sumei neimpozabile stabilită în sumă de </w:t>
            </w:r>
            <w:r w:rsidRPr="00AB1788">
              <w:rPr>
                <w:b/>
                <w:lang w:val="ro-RO"/>
              </w:rPr>
              <w:t>600 RON (aprox. MDL 2,200).</w:t>
            </w:r>
          </w:p>
          <w:p w:rsidR="00F673B7" w:rsidRPr="00AB1788" w:rsidRDefault="00F673B7" w:rsidP="00F673B7">
            <w:pPr>
              <w:jc w:val="both"/>
              <w:rPr>
                <w:lang w:val="ro-RO"/>
              </w:rPr>
            </w:pPr>
          </w:p>
          <w:p w:rsidR="00F673B7" w:rsidRPr="00AB1788" w:rsidRDefault="00C847AD" w:rsidP="00F673B7">
            <w:pPr>
              <w:jc w:val="both"/>
              <w:rPr>
                <w:b/>
                <w:lang w:val="ro-RO"/>
              </w:rPr>
            </w:pPr>
            <w:r w:rsidRPr="00AB1788">
              <w:rPr>
                <w:b/>
                <w:lang w:val="ro-RO"/>
              </w:rPr>
              <w:t xml:space="preserve">În contextul celor expuse, precum şi </w:t>
            </w:r>
            <w:r w:rsidR="00B3375A" w:rsidRPr="00AB1788">
              <w:rPr>
                <w:b/>
                <w:lang w:val="ro-RO"/>
              </w:rPr>
              <w:t>având</w:t>
            </w:r>
            <w:r w:rsidRPr="00AB1788">
              <w:rPr>
                <w:b/>
                <w:lang w:val="ro-RO"/>
              </w:rPr>
              <w:t xml:space="preserve"> în vedere obiectivele bine determinate ale statului în susţinerea businessului (inclusiv prin promovarea unei politici fiscale bazate pe astfel de principii ca certitudinea impunerii si randamentul impozitelor), precum şi practicile </w:t>
            </w:r>
            <w:r w:rsidR="00B3375A" w:rsidRPr="00AB1788">
              <w:rPr>
                <w:b/>
                <w:lang w:val="ro-RO"/>
              </w:rPr>
              <w:t>internaţionale</w:t>
            </w:r>
            <w:r w:rsidRPr="00AB1788">
              <w:rPr>
                <w:b/>
                <w:lang w:val="ro-RO"/>
              </w:rPr>
              <w:t xml:space="preserve"> la acest compartiment, este strict recomandabilă reintr</w:t>
            </w:r>
            <w:r w:rsidR="00AB1788">
              <w:rPr>
                <w:b/>
                <w:lang w:val="ro-RO"/>
              </w:rPr>
              <w:t>od</w:t>
            </w:r>
            <w:r w:rsidRPr="00AB1788">
              <w:rPr>
                <w:b/>
                <w:lang w:val="ro-RO"/>
              </w:rPr>
              <w:t xml:space="preserve">ucerea plafonului minim neimpozabil la </w:t>
            </w:r>
            <w:r w:rsidR="00B3375A" w:rsidRPr="00AB1788">
              <w:rPr>
                <w:b/>
                <w:lang w:val="ro-RO"/>
              </w:rPr>
              <w:t>câştigurilor</w:t>
            </w:r>
            <w:r w:rsidRPr="00AB1788">
              <w:rPr>
                <w:b/>
                <w:lang w:val="ro-RO"/>
              </w:rPr>
              <w:t xml:space="preserve"> de la campaniile promoţionale</w:t>
            </w:r>
            <w:r w:rsidR="00B3375A" w:rsidRPr="00AB1788">
              <w:rPr>
                <w:b/>
                <w:lang w:val="ro-RO"/>
              </w:rPr>
              <w:t xml:space="preserve"> astfel cum a existat în 2006 - 2011</w:t>
            </w:r>
            <w:r w:rsidRPr="00AB1788">
              <w:rPr>
                <w:b/>
                <w:lang w:val="ro-RO"/>
              </w:rPr>
              <w:t>.</w:t>
            </w:r>
          </w:p>
          <w:p w:rsidR="002F4AC5" w:rsidRPr="00AB1788" w:rsidRDefault="002F4AC5" w:rsidP="00F673B7">
            <w:pPr>
              <w:jc w:val="both"/>
              <w:rPr>
                <w:b/>
                <w:lang w:val="ro-RO"/>
              </w:rPr>
            </w:pPr>
          </w:p>
          <w:p w:rsidR="002F4AC5" w:rsidRPr="00AB1788" w:rsidRDefault="002F4AC5" w:rsidP="00F673B7">
            <w:pPr>
              <w:jc w:val="both"/>
              <w:rPr>
                <w:b/>
                <w:lang w:val="ro-RO"/>
              </w:rPr>
            </w:pPr>
          </w:p>
          <w:p w:rsidR="00AB1788" w:rsidRDefault="00AB1788" w:rsidP="002F4AC5">
            <w:pPr>
              <w:pStyle w:val="a8"/>
              <w:numPr>
                <w:ilvl w:val="0"/>
                <w:numId w:val="9"/>
              </w:numPr>
              <w:jc w:val="both"/>
              <w:rPr>
                <w:lang w:val="ro-RO"/>
              </w:rPr>
            </w:pPr>
            <w:r w:rsidRPr="00560DF4">
              <w:rPr>
                <w:i/>
                <w:lang w:val="ro-RO"/>
              </w:rPr>
              <w:t>Plăţile în beneficiul persoanelor fizice pentru recepţionarea ambalajului reciclabil</w:t>
            </w:r>
            <w:r>
              <w:rPr>
                <w:lang w:val="ro-RO"/>
              </w:rPr>
              <w:t>.</w:t>
            </w:r>
          </w:p>
          <w:p w:rsidR="00AB1788" w:rsidRDefault="00AB1788" w:rsidP="00AB1788">
            <w:pPr>
              <w:ind w:left="360"/>
              <w:jc w:val="both"/>
              <w:rPr>
                <w:lang w:val="ro-RO"/>
              </w:rPr>
            </w:pPr>
          </w:p>
          <w:p w:rsidR="002F4AC5" w:rsidRPr="00AB1788" w:rsidRDefault="00AB1788" w:rsidP="002F4AC5">
            <w:pPr>
              <w:jc w:val="both"/>
              <w:rPr>
                <w:lang w:val="ro-RO"/>
              </w:rPr>
            </w:pPr>
            <w:r>
              <w:rPr>
                <w:lang w:val="ro-RO"/>
              </w:rPr>
              <w:t xml:space="preserve">In redacţia anului 2012 la efectuarea plăţilor pentru </w:t>
            </w:r>
            <w:r w:rsidR="002F4AC5" w:rsidRPr="00AB1788">
              <w:rPr>
                <w:lang w:val="ro-RO"/>
              </w:rPr>
              <w:t>recep</w:t>
            </w:r>
            <w:r>
              <w:rPr>
                <w:lang w:val="ro-RO"/>
              </w:rPr>
              <w:t>ţ</w:t>
            </w:r>
            <w:r w:rsidR="002F4AC5" w:rsidRPr="00AB1788">
              <w:rPr>
                <w:lang w:val="ro-RO"/>
              </w:rPr>
              <w:t>ionarea ambalajului reciclabil de la popula</w:t>
            </w:r>
            <w:r>
              <w:rPr>
                <w:lang w:val="ro-RO"/>
              </w:rPr>
              <w:t>ţ</w:t>
            </w:r>
            <w:r w:rsidR="002F4AC5" w:rsidRPr="00AB1788">
              <w:rPr>
                <w:lang w:val="ro-RO"/>
              </w:rPr>
              <w:t xml:space="preserve">ie </w:t>
            </w:r>
            <w:r>
              <w:rPr>
                <w:lang w:val="ro-RO"/>
              </w:rPr>
              <w:t>î</w:t>
            </w:r>
            <w:r w:rsidR="002F4AC5" w:rsidRPr="00AB1788">
              <w:rPr>
                <w:lang w:val="ro-RO"/>
              </w:rPr>
              <w:t>n conformitate cu prevederile art. 90 al Codului Fiscal companiile sunt obligate s</w:t>
            </w:r>
            <w:r>
              <w:rPr>
                <w:lang w:val="ro-RO"/>
              </w:rPr>
              <w:t>ă</w:t>
            </w:r>
            <w:r w:rsidR="002F4AC5" w:rsidRPr="00AB1788">
              <w:rPr>
                <w:lang w:val="ro-RO"/>
              </w:rPr>
              <w:t xml:space="preserve"> re</w:t>
            </w:r>
            <w:r>
              <w:rPr>
                <w:lang w:val="ro-RO"/>
              </w:rPr>
              <w:t>ţ</w:t>
            </w:r>
            <w:r w:rsidR="002F4AC5" w:rsidRPr="00AB1788">
              <w:rPr>
                <w:lang w:val="ro-RO"/>
              </w:rPr>
              <w:t>in</w:t>
            </w:r>
            <w:r>
              <w:rPr>
                <w:lang w:val="ro-RO"/>
              </w:rPr>
              <w:t>ă</w:t>
            </w:r>
            <w:r w:rsidR="002F4AC5" w:rsidRPr="00AB1788">
              <w:rPr>
                <w:lang w:val="ro-RO"/>
              </w:rPr>
              <w:t xml:space="preserve"> la surs</w:t>
            </w:r>
            <w:r>
              <w:rPr>
                <w:lang w:val="ro-RO"/>
              </w:rPr>
              <w:t>a</w:t>
            </w:r>
            <w:r w:rsidR="002F4AC5" w:rsidRPr="00AB1788">
              <w:rPr>
                <w:lang w:val="ro-RO"/>
              </w:rPr>
              <w:t xml:space="preserve"> de plata 7% cu </w:t>
            </w:r>
            <w:r>
              <w:rPr>
                <w:lang w:val="ro-RO"/>
              </w:rPr>
              <w:t>î</w:t>
            </w:r>
            <w:r w:rsidR="002F4AC5" w:rsidRPr="00AB1788">
              <w:rPr>
                <w:lang w:val="ro-RO"/>
              </w:rPr>
              <w:t>ntocmirea documentelor primare necesare.</w:t>
            </w:r>
          </w:p>
          <w:p w:rsidR="002F4AC5" w:rsidRPr="00AB1788" w:rsidRDefault="002F4AC5" w:rsidP="002F4AC5">
            <w:pPr>
              <w:jc w:val="both"/>
              <w:rPr>
                <w:lang w:val="ro-RO"/>
              </w:rPr>
            </w:pPr>
          </w:p>
          <w:p w:rsidR="002F4AC5" w:rsidRPr="00AB1788" w:rsidRDefault="002F4AC5" w:rsidP="002F4AC5">
            <w:pPr>
              <w:jc w:val="both"/>
              <w:rPr>
                <w:lang w:val="ro-RO"/>
              </w:rPr>
            </w:pPr>
            <w:r w:rsidRPr="00AB1788">
              <w:rPr>
                <w:lang w:val="ro-RO"/>
              </w:rPr>
              <w:t>Lu</w:t>
            </w:r>
            <w:r w:rsidR="00AB1788">
              <w:rPr>
                <w:lang w:val="ro-RO"/>
              </w:rPr>
              <w:t>â</w:t>
            </w:r>
            <w:r w:rsidRPr="00AB1788">
              <w:rPr>
                <w:lang w:val="ro-RO"/>
              </w:rPr>
              <w:t xml:space="preserve">nd </w:t>
            </w:r>
            <w:r w:rsidR="00AB1788">
              <w:rPr>
                <w:lang w:val="ro-RO"/>
              </w:rPr>
              <w:t>î</w:t>
            </w:r>
            <w:r w:rsidRPr="00AB1788">
              <w:rPr>
                <w:lang w:val="ro-RO"/>
              </w:rPr>
              <w:t>n con</w:t>
            </w:r>
            <w:r w:rsidR="00AB1788">
              <w:rPr>
                <w:lang w:val="ro-RO"/>
              </w:rPr>
              <w:t>si</w:t>
            </w:r>
            <w:r w:rsidRPr="00AB1788">
              <w:rPr>
                <w:lang w:val="ro-RO"/>
              </w:rPr>
              <w:t>derare c</w:t>
            </w:r>
            <w:r w:rsidR="00AB1788">
              <w:rPr>
                <w:lang w:val="ro-RO"/>
              </w:rPr>
              <w:t>ă</w:t>
            </w:r>
            <w:r w:rsidRPr="00AB1788">
              <w:rPr>
                <w:lang w:val="ro-RO"/>
              </w:rPr>
              <w:t xml:space="preserve"> ambalajul returnabil este repus </w:t>
            </w:r>
            <w:r w:rsidR="00AB1788">
              <w:rPr>
                <w:lang w:val="ro-RO"/>
              </w:rPr>
              <w:t>î</w:t>
            </w:r>
            <w:r w:rsidRPr="00AB1788">
              <w:rPr>
                <w:lang w:val="ro-RO"/>
              </w:rPr>
              <w:t xml:space="preserve">n circuitul economic de </w:t>
            </w:r>
            <w:proofErr w:type="spellStart"/>
            <w:r w:rsidRPr="00AB1788">
              <w:rPr>
                <w:lang w:val="ro-RO"/>
              </w:rPr>
              <w:t>c</w:t>
            </w:r>
            <w:r w:rsidR="00AB1788">
              <w:rPr>
                <w:lang w:val="ro-RO"/>
              </w:rPr>
              <w:t>î</w:t>
            </w:r>
            <w:r w:rsidRPr="00AB1788">
              <w:rPr>
                <w:lang w:val="ro-RO"/>
              </w:rPr>
              <w:t>teva</w:t>
            </w:r>
            <w:proofErr w:type="spellEnd"/>
            <w:r w:rsidRPr="00AB1788">
              <w:rPr>
                <w:lang w:val="ro-RO"/>
              </w:rPr>
              <w:t xml:space="preserve"> ori, valoarea acestuia de fapt nu reprezint</w:t>
            </w:r>
            <w:r w:rsidR="00AB1788">
              <w:rPr>
                <w:lang w:val="ro-RO"/>
              </w:rPr>
              <w:t>ă</w:t>
            </w:r>
            <w:r w:rsidRPr="00AB1788">
              <w:rPr>
                <w:lang w:val="ro-RO"/>
              </w:rPr>
              <w:t xml:space="preserve"> un venit pentru persoanele fizice ce </w:t>
            </w:r>
            <w:proofErr w:type="spellStart"/>
            <w:r w:rsidRPr="00AB1788">
              <w:rPr>
                <w:lang w:val="ro-RO"/>
              </w:rPr>
              <w:t>il</w:t>
            </w:r>
            <w:proofErr w:type="spellEnd"/>
            <w:r w:rsidRPr="00AB1788">
              <w:rPr>
                <w:lang w:val="ro-RO"/>
              </w:rPr>
              <w:t xml:space="preserve"> returneaz</w:t>
            </w:r>
            <w:r w:rsidR="00AB1788">
              <w:rPr>
                <w:lang w:val="ro-RO"/>
              </w:rPr>
              <w:t>ă</w:t>
            </w:r>
            <w:r w:rsidRPr="00AB1788">
              <w:rPr>
                <w:lang w:val="ro-RO"/>
              </w:rPr>
              <w:t xml:space="preserve">, precum si </w:t>
            </w:r>
            <w:proofErr w:type="spellStart"/>
            <w:r w:rsidRPr="00AB1788">
              <w:rPr>
                <w:lang w:val="ro-RO"/>
              </w:rPr>
              <w:t>consider</w:t>
            </w:r>
            <w:r w:rsidR="00AB1788">
              <w:rPr>
                <w:lang w:val="ro-RO"/>
              </w:rPr>
              <w:t>î</w:t>
            </w:r>
            <w:r w:rsidRPr="00AB1788">
              <w:rPr>
                <w:lang w:val="ro-RO"/>
              </w:rPr>
              <w:t>nd</w:t>
            </w:r>
            <w:proofErr w:type="spellEnd"/>
            <w:r w:rsidRPr="00AB1788">
              <w:rPr>
                <w:lang w:val="ro-RO"/>
              </w:rPr>
              <w:t xml:space="preserve"> impactul asupra mediului </w:t>
            </w:r>
            <w:r w:rsidR="00AB1788">
              <w:rPr>
                <w:lang w:val="ro-RO"/>
              </w:rPr>
              <w:t>ş</w:t>
            </w:r>
            <w:r w:rsidRPr="00AB1788">
              <w:rPr>
                <w:lang w:val="ro-RO"/>
              </w:rPr>
              <w:t>i promovarea recicl</w:t>
            </w:r>
            <w:r w:rsidR="00AB1788">
              <w:rPr>
                <w:lang w:val="ro-RO"/>
              </w:rPr>
              <w:t>ă</w:t>
            </w:r>
            <w:r w:rsidRPr="00AB1788">
              <w:rPr>
                <w:lang w:val="ro-RO"/>
              </w:rPr>
              <w:t>rii ambalajului recomand</w:t>
            </w:r>
            <w:r w:rsidR="00AB1788">
              <w:rPr>
                <w:lang w:val="ro-RO"/>
              </w:rPr>
              <w:t>ă</w:t>
            </w:r>
            <w:r w:rsidRPr="00AB1788">
              <w:rPr>
                <w:lang w:val="ro-RO"/>
              </w:rPr>
              <w:t xml:space="preserve">m </w:t>
            </w:r>
            <w:proofErr w:type="spellStart"/>
            <w:r w:rsidRPr="00AB1788">
              <w:rPr>
                <w:lang w:val="ro-RO"/>
              </w:rPr>
              <w:t>inlcuderea</w:t>
            </w:r>
            <w:proofErr w:type="spellEnd"/>
            <w:r w:rsidRPr="00AB1788">
              <w:rPr>
                <w:lang w:val="ro-RO"/>
              </w:rPr>
              <w:t xml:space="preserve"> normei privind neimpozitarea pl</w:t>
            </w:r>
            <w:r w:rsidR="00AB1788">
              <w:rPr>
                <w:lang w:val="ro-RO"/>
              </w:rPr>
              <w:t>ăţ</w:t>
            </w:r>
            <w:r w:rsidRPr="00AB1788">
              <w:rPr>
                <w:lang w:val="ro-RO"/>
              </w:rPr>
              <w:t>ilor c</w:t>
            </w:r>
            <w:r w:rsidR="00AB1788">
              <w:rPr>
                <w:lang w:val="ro-RO"/>
              </w:rPr>
              <w:t>ă</w:t>
            </w:r>
            <w:r w:rsidRPr="00AB1788">
              <w:rPr>
                <w:lang w:val="ro-RO"/>
              </w:rPr>
              <w:t>tre persoanele fizice la recep</w:t>
            </w:r>
            <w:r w:rsidR="00AB1788">
              <w:rPr>
                <w:lang w:val="ro-RO"/>
              </w:rPr>
              <w:t>ţ</w:t>
            </w:r>
            <w:r w:rsidRPr="00AB1788">
              <w:rPr>
                <w:lang w:val="ro-RO"/>
              </w:rPr>
              <w:t>ionarea ambalajului reciclabil.</w:t>
            </w:r>
          </w:p>
          <w:p w:rsidR="00F673B7" w:rsidRDefault="00F673B7" w:rsidP="009E2169">
            <w:pPr>
              <w:rPr>
                <w:lang w:val="ro-RO"/>
              </w:rPr>
            </w:pPr>
          </w:p>
          <w:p w:rsidR="00AB1788" w:rsidRPr="00AB1788" w:rsidRDefault="00AB1788" w:rsidP="00AB1788">
            <w:pPr>
              <w:jc w:val="both"/>
              <w:rPr>
                <w:lang w:val="ro-RO"/>
              </w:rPr>
            </w:pPr>
            <w:r>
              <w:rPr>
                <w:lang w:val="ro-RO"/>
              </w:rPr>
              <w:t>Respectiv se propune de a include în art. 20 al Codului Fiscal a plăţilor în favoarea persoanelor fizice de la recepţionarea ambalajului reciclabil drept surse de venituri neimpozabile.</w:t>
            </w:r>
            <w:r w:rsidRPr="00AB1788">
              <w:rPr>
                <w:lang w:val="ro-RO"/>
              </w:rPr>
              <w:t xml:space="preserve"> </w:t>
            </w:r>
          </w:p>
        </w:tc>
      </w:tr>
      <w:tr w:rsidR="006F67AD" w:rsidRPr="00AB1788" w:rsidTr="009E2169">
        <w:tc>
          <w:tcPr>
            <w:tcW w:w="567" w:type="dxa"/>
          </w:tcPr>
          <w:p w:rsidR="006F67AD" w:rsidRPr="00AB1788" w:rsidRDefault="006F67AD" w:rsidP="009E2169">
            <w:pPr>
              <w:rPr>
                <w:lang w:val="ro-RO"/>
              </w:rPr>
            </w:pPr>
          </w:p>
          <w:p w:rsidR="006F67AD" w:rsidRPr="00AB1788" w:rsidRDefault="00C847AD" w:rsidP="009E2169">
            <w:pPr>
              <w:rPr>
                <w:lang w:val="ro-RO"/>
              </w:rPr>
            </w:pPr>
            <w:r w:rsidRPr="00AB1788">
              <w:rPr>
                <w:lang w:val="ro-RO"/>
              </w:rPr>
              <w:t>4</w:t>
            </w:r>
          </w:p>
        </w:tc>
        <w:tc>
          <w:tcPr>
            <w:tcW w:w="2552" w:type="dxa"/>
          </w:tcPr>
          <w:p w:rsidR="006F67AD" w:rsidRPr="00AB1788" w:rsidRDefault="006F67AD" w:rsidP="009E2169">
            <w:pPr>
              <w:rPr>
                <w:lang w:val="ro-RO"/>
              </w:rPr>
            </w:pPr>
          </w:p>
          <w:p w:rsidR="006F67AD" w:rsidRPr="00AB1788" w:rsidRDefault="00C847AD" w:rsidP="009E2169">
            <w:pPr>
              <w:rPr>
                <w:lang w:val="ro-RO"/>
              </w:rPr>
            </w:pPr>
            <w:r w:rsidRPr="00AB1788">
              <w:rPr>
                <w:lang w:val="ro-RO"/>
              </w:rPr>
              <w:t>Art. 84, alin. (1), alin. (1)</w:t>
            </w:r>
            <w:r w:rsidRPr="00AB1788">
              <w:rPr>
                <w:rStyle w:val="a5"/>
                <w:rFonts w:cs="Arial"/>
                <w:lang w:val="ro-RO"/>
              </w:rPr>
              <w:t>1</w:t>
            </w:r>
          </w:p>
          <w:p w:rsidR="006F67AD" w:rsidRPr="00AB1788" w:rsidRDefault="006F67AD" w:rsidP="008159BF">
            <w:pPr>
              <w:rPr>
                <w:lang w:val="ro-RO"/>
              </w:rPr>
            </w:pPr>
            <w:r w:rsidRPr="00AB1788">
              <w:rPr>
                <w:lang w:val="ro-RO"/>
              </w:rPr>
              <w:t>Art. 261, alin. (6)</w:t>
            </w:r>
          </w:p>
        </w:tc>
        <w:tc>
          <w:tcPr>
            <w:tcW w:w="11974" w:type="dxa"/>
          </w:tcPr>
          <w:p w:rsidR="006F67AD" w:rsidRPr="00AB1788" w:rsidRDefault="006F67AD" w:rsidP="009E2169">
            <w:pPr>
              <w:rPr>
                <w:lang w:val="ro-RO"/>
              </w:rPr>
            </w:pPr>
          </w:p>
          <w:p w:rsidR="006D482B" w:rsidRPr="00AB1788" w:rsidRDefault="006F67AD" w:rsidP="009E2169">
            <w:pPr>
              <w:rPr>
                <w:lang w:val="ro-RO"/>
              </w:rPr>
            </w:pPr>
            <w:r w:rsidRPr="00AB1788">
              <w:rPr>
                <w:lang w:val="ro-RO"/>
              </w:rPr>
              <w:t xml:space="preserve">Înţelegem că </w:t>
            </w:r>
            <w:r w:rsidR="008159BF" w:rsidRPr="00AB1788">
              <w:rPr>
                <w:lang w:val="ro-RO"/>
              </w:rPr>
              <w:t>începând</w:t>
            </w:r>
            <w:r w:rsidR="00C847AD" w:rsidRPr="00AB1788">
              <w:rPr>
                <w:lang w:val="ro-RO"/>
              </w:rPr>
              <w:t xml:space="preserve"> cu 13 ianuarie 2012 în baza amendamentelor operate la art. 84 al Codului fiscal</w:t>
            </w:r>
            <w:r w:rsidR="00FD115C" w:rsidRPr="00AB1788">
              <w:rPr>
                <w:lang w:val="ro-RO"/>
              </w:rPr>
              <w:t xml:space="preserve"> prin introducerea unui nou alineat</w:t>
            </w:r>
            <w:r w:rsidR="008159BF" w:rsidRPr="00AB1788">
              <w:rPr>
                <w:lang w:val="ro-RO"/>
              </w:rPr>
              <w:t xml:space="preserve"> (1)</w:t>
            </w:r>
            <w:r w:rsidR="00C847AD" w:rsidRPr="00AB1788">
              <w:rPr>
                <w:rStyle w:val="a5"/>
                <w:rFonts w:cs="Arial"/>
                <w:lang w:val="ro-RO"/>
              </w:rPr>
              <w:t>1</w:t>
            </w:r>
            <w:r w:rsidR="00C847AD" w:rsidRPr="00AB1788">
              <w:rPr>
                <w:lang w:val="ro-RO"/>
              </w:rPr>
              <w:t xml:space="preserve"> </w:t>
            </w:r>
            <w:r w:rsidR="008159BF" w:rsidRPr="00AB1788">
              <w:rPr>
                <w:lang w:val="ro-RO"/>
              </w:rPr>
              <w:t xml:space="preserve">contribuabilii care obţin venituri altele decât din munca salariată, dobânzi sau </w:t>
            </w:r>
            <w:proofErr w:type="spellStart"/>
            <w:r w:rsidR="008159BF" w:rsidRPr="00AB1788">
              <w:rPr>
                <w:lang w:val="ro-RO"/>
              </w:rPr>
              <w:t>royalty</w:t>
            </w:r>
            <w:proofErr w:type="spellEnd"/>
            <w:r w:rsidR="008159BF" w:rsidRPr="00AB1788">
              <w:rPr>
                <w:lang w:val="ro-RO"/>
              </w:rPr>
              <w:t xml:space="preserve"> (de la care rezidenţii reţin un impozit pe venit la sursa de plată) sunt obligaţi să achite nu mai târziu de 31 martie, 30 iunie, 30 septembrie şi 31 decembrie 2012, sume egale cu 1/4 din </w:t>
            </w:r>
            <w:r w:rsidR="00C847AD" w:rsidRPr="00AB1788">
              <w:rPr>
                <w:b/>
                <w:i/>
                <w:lang w:val="ro-RO"/>
              </w:rPr>
              <w:t>suma impozitului pe venit care urmează a fi plătită pentru perioada fiscală 2012</w:t>
            </w:r>
            <w:r w:rsidR="008159BF" w:rsidRPr="00AB1788">
              <w:rPr>
                <w:lang w:val="ro-RO"/>
              </w:rPr>
              <w:t>.</w:t>
            </w:r>
          </w:p>
          <w:p w:rsidR="006D482B" w:rsidRPr="00AB1788" w:rsidRDefault="006D482B" w:rsidP="009E2169">
            <w:pPr>
              <w:rPr>
                <w:lang w:val="ro-RO"/>
              </w:rPr>
            </w:pPr>
          </w:p>
          <w:p w:rsidR="006F67AD" w:rsidRPr="00AB1788" w:rsidRDefault="00FD115C" w:rsidP="009E2169">
            <w:pPr>
              <w:rPr>
                <w:lang w:val="ro-RO"/>
              </w:rPr>
            </w:pPr>
            <w:r w:rsidRPr="00AB1788">
              <w:rPr>
                <w:lang w:val="ro-RO"/>
              </w:rPr>
              <w:lastRenderedPageBreak/>
              <w:t xml:space="preserve">Se pare ca astfel de modificări au fost implementate deoarece </w:t>
            </w:r>
            <w:r w:rsidR="00C847AD" w:rsidRPr="00AB1788">
              <w:rPr>
                <w:lang w:val="ro-RO"/>
              </w:rPr>
              <w:t>în 2011 rata impozitului pe venit din activitatea de întreprinzător a constituit 0%, respectiv, impozitul pentru perioadele precedente nu a existat.</w:t>
            </w:r>
          </w:p>
          <w:p w:rsidR="006F67AD" w:rsidRPr="00AB1788" w:rsidRDefault="00C847AD" w:rsidP="009E2169">
            <w:pPr>
              <w:rPr>
                <w:lang w:val="ro-RO"/>
              </w:rPr>
            </w:pPr>
            <w:r w:rsidRPr="00AB1788">
              <w:rPr>
                <w:lang w:val="ro-RO"/>
              </w:rPr>
              <w:t xml:space="preserve">În consecinţă, în anul 2012 agenţi economici vor avea obligaţia să utilizeze doar o singură metodă privind plata impozitului în rate – cea specificată la </w:t>
            </w:r>
            <w:proofErr w:type="spellStart"/>
            <w:r w:rsidRPr="00AB1788">
              <w:rPr>
                <w:lang w:val="ro-RO"/>
              </w:rPr>
              <w:t>lit.a</w:t>
            </w:r>
            <w:proofErr w:type="spellEnd"/>
            <w:r w:rsidRPr="00AB1788">
              <w:rPr>
                <w:lang w:val="ro-RO"/>
              </w:rPr>
              <w:t>) alin. (1) şi la alin. (1)</w:t>
            </w:r>
            <w:r w:rsidRPr="00AB1788">
              <w:rPr>
                <w:rStyle w:val="a5"/>
                <w:rFonts w:cs="Arial"/>
                <w:lang w:val="ro-RO"/>
              </w:rPr>
              <w:t>1</w:t>
            </w:r>
            <w:r w:rsidRPr="00AB1788">
              <w:rPr>
                <w:lang w:val="ro-RO"/>
              </w:rPr>
              <w:t xml:space="preserve"> – adică, metoda</w:t>
            </w:r>
            <w:r w:rsidR="00FD115C" w:rsidRPr="00AB1788">
              <w:rPr>
                <w:lang w:val="ro-RO"/>
              </w:rPr>
              <w:t xml:space="preserve"> prognozei obligaţiilor privind impozitul pe venit pentru 2012. Erorile </w:t>
            </w:r>
            <w:r w:rsidR="006F67AD" w:rsidRPr="00AB1788">
              <w:rPr>
                <w:lang w:val="ro-RO"/>
              </w:rPr>
              <w:t xml:space="preserve">pentru estimarea </w:t>
            </w:r>
            <w:r w:rsidRPr="00AB1788">
              <w:rPr>
                <w:lang w:val="ro-RO"/>
              </w:rPr>
              <w:t>greşită a venitului impozabil pentru 2012 vor genera riscul de aplicare a amenzii de 15% pentru neplata impozitului pe venit în rate astfel cum este prevăzut prin alin. (6) art. 261 al Codului fiscal. Agenţi economici se vor confrunta cu dificultăţile majore, nefiind în stare  să garanteze în mod cert estimările venitului impozabil, luând în consideraţie faptul că economia Moldovei este în curs de dezvoltare  şi supusă în continuare unor riscuri de natură externă şi internă (de ex. fluctuaţiile cursului valutar, provocările pe pieţele UE, etc.).</w:t>
            </w:r>
          </w:p>
          <w:p w:rsidR="006F67AD" w:rsidRPr="00AB1788" w:rsidRDefault="006F67AD" w:rsidP="009E2169">
            <w:pPr>
              <w:rPr>
                <w:lang w:val="ro-RO"/>
              </w:rPr>
            </w:pPr>
          </w:p>
          <w:p w:rsidR="006F67AD" w:rsidRPr="00AB1788" w:rsidRDefault="00C847AD" w:rsidP="009E2169">
            <w:pPr>
              <w:rPr>
                <w:lang w:val="ro-RO"/>
              </w:rPr>
            </w:pPr>
            <w:r w:rsidRPr="00AB1788">
              <w:rPr>
                <w:lang w:val="ro-RO"/>
              </w:rPr>
              <w:t>Astfel, propunem excluderea prevederilor alin. (1)</w:t>
            </w:r>
            <w:r w:rsidRPr="00AB1788">
              <w:rPr>
                <w:rStyle w:val="a5"/>
                <w:rFonts w:cs="Arial"/>
                <w:lang w:val="ro-RO"/>
              </w:rPr>
              <w:t>1</w:t>
            </w:r>
            <w:r w:rsidRPr="00AB1788">
              <w:rPr>
                <w:lang w:val="ro-RO"/>
              </w:rPr>
              <w:t xml:space="preserve"> din </w:t>
            </w:r>
            <w:r w:rsidR="00730617" w:rsidRPr="00AB1788">
              <w:rPr>
                <w:lang w:val="ro-RO"/>
              </w:rPr>
              <w:t>textul</w:t>
            </w:r>
            <w:r w:rsidRPr="00AB1788">
              <w:rPr>
                <w:lang w:val="ro-RO"/>
              </w:rPr>
              <w:t xml:space="preserve"> art.84 al Codului fiscal</w:t>
            </w:r>
            <w:r w:rsidR="00730617" w:rsidRPr="00AB1788">
              <w:rPr>
                <w:lang w:val="ro-RO"/>
              </w:rPr>
              <w:t>. De asemenea, în vederea eliminării unor interpretări neunivoce</w:t>
            </w:r>
            <w:r w:rsidR="008308BE" w:rsidRPr="00AB1788">
              <w:rPr>
                <w:lang w:val="ro-RO"/>
              </w:rPr>
              <w:t xml:space="preserve"> privind subiecţii ce urmează să achite impozitul pe venit în rate</w:t>
            </w:r>
            <w:r w:rsidR="00730617" w:rsidRPr="00AB1788">
              <w:rPr>
                <w:lang w:val="ro-RO"/>
              </w:rPr>
              <w:t>, propunem</w:t>
            </w:r>
            <w:r w:rsidRPr="00AB1788">
              <w:rPr>
                <w:lang w:val="ro-RO"/>
              </w:rPr>
              <w:t xml:space="preserve"> expunerea alin. (1) art. 84 în următoarea redacţie: </w:t>
            </w:r>
          </w:p>
          <w:p w:rsidR="00730617" w:rsidRPr="00AB1788" w:rsidRDefault="00730617" w:rsidP="009E2169">
            <w:pPr>
              <w:rPr>
                <w:lang w:val="ro-RO"/>
              </w:rPr>
            </w:pPr>
          </w:p>
          <w:p w:rsidR="00730617" w:rsidRPr="00AB1788" w:rsidRDefault="00730617" w:rsidP="00730617">
            <w:pPr>
              <w:widowControl/>
              <w:autoSpaceDE/>
              <w:autoSpaceDN/>
              <w:adjustRightInd/>
              <w:ind w:firstLine="567"/>
              <w:jc w:val="both"/>
              <w:rPr>
                <w:lang w:val="ro-RO"/>
              </w:rPr>
            </w:pPr>
            <w:r w:rsidRPr="00AB1788">
              <w:rPr>
                <w:lang w:val="ro-RO"/>
              </w:rPr>
              <w:t>„</w:t>
            </w:r>
            <w:r w:rsidR="00C847AD" w:rsidRPr="00AB1788">
              <w:rPr>
                <w:lang w:val="ro-RO"/>
              </w:rPr>
              <w:t>(1)</w:t>
            </w:r>
            <w:r w:rsidRPr="00AB1788">
              <w:rPr>
                <w:lang w:val="ro-RO"/>
              </w:rPr>
              <w:t xml:space="preserve"> Persoanele ce practică activitatea de întreprinzător</w:t>
            </w:r>
            <w:r w:rsidR="00C847AD" w:rsidRPr="00AB1788">
              <w:rPr>
                <w:lang w:val="ro-RO"/>
              </w:rPr>
              <w:t>, şi obligaţiile fiscale ale cărora, conform prezentului titlu, depăşeau în anul fiscal precedent suma de 400 lei s</w:t>
            </w:r>
            <w:r w:rsidRPr="00AB1788">
              <w:rPr>
                <w:lang w:val="ro-RO"/>
              </w:rPr>
              <w:t>u</w:t>
            </w:r>
            <w:r w:rsidR="00C847AD" w:rsidRPr="00AB1788">
              <w:rPr>
                <w:lang w:val="ro-RO"/>
              </w:rPr>
              <w:t xml:space="preserve">nt obligaţi să achite, nu mai </w:t>
            </w:r>
            <w:proofErr w:type="spellStart"/>
            <w:r w:rsidR="00C847AD" w:rsidRPr="00AB1788">
              <w:rPr>
                <w:lang w:val="ro-RO"/>
              </w:rPr>
              <w:t>tîrziu</w:t>
            </w:r>
            <w:proofErr w:type="spellEnd"/>
            <w:r w:rsidR="00C847AD" w:rsidRPr="00AB1788">
              <w:rPr>
                <w:lang w:val="ro-RO"/>
              </w:rPr>
              <w:t xml:space="preserve"> de 31 martie, 30 iunie, 30 septembrie şi 31 decembrie ale anului fiscal, sume egale cu 1/4 din: </w:t>
            </w:r>
          </w:p>
          <w:p w:rsidR="00730617" w:rsidRPr="00AB1788" w:rsidRDefault="00730617" w:rsidP="00730617">
            <w:pPr>
              <w:widowControl/>
              <w:autoSpaceDE/>
              <w:autoSpaceDN/>
              <w:adjustRightInd/>
              <w:ind w:firstLine="567"/>
              <w:jc w:val="both"/>
              <w:rPr>
                <w:lang w:val="ro-RO"/>
              </w:rPr>
            </w:pPr>
          </w:p>
          <w:p w:rsidR="00730617" w:rsidRPr="00AB1788" w:rsidRDefault="00C847AD" w:rsidP="00730617">
            <w:pPr>
              <w:widowControl/>
              <w:autoSpaceDE/>
              <w:autoSpaceDN/>
              <w:adjustRightInd/>
              <w:ind w:firstLine="567"/>
              <w:jc w:val="both"/>
              <w:rPr>
                <w:lang w:val="ro-RO"/>
              </w:rPr>
            </w:pPr>
            <w:r w:rsidRPr="00AB1788">
              <w:rPr>
                <w:lang w:val="ro-RO"/>
              </w:rPr>
              <w:t xml:space="preserve">a) suma calculată drept impozit ce urmează a fi plătit, conform prezentului titlu, pentru anul </w:t>
            </w:r>
            <w:r w:rsidR="008308BE" w:rsidRPr="00AB1788">
              <w:rPr>
                <w:lang w:val="ro-RO"/>
              </w:rPr>
              <w:t>curent</w:t>
            </w:r>
            <w:r w:rsidRPr="00AB1788">
              <w:rPr>
                <w:lang w:val="ro-RO"/>
              </w:rPr>
              <w:t xml:space="preserve">; sau </w:t>
            </w:r>
          </w:p>
          <w:p w:rsidR="00692FC2" w:rsidRPr="00AB1788" w:rsidRDefault="006F67AD">
            <w:pPr>
              <w:pStyle w:val="a6"/>
              <w:spacing w:before="0" w:beforeAutospacing="0" w:after="0" w:afterAutospacing="0"/>
              <w:rPr>
                <w:rFonts w:ascii="Arial" w:hAnsi="Arial" w:cs="Arial"/>
                <w:b/>
                <w:i/>
                <w:sz w:val="20"/>
                <w:szCs w:val="20"/>
                <w:lang w:val="ro-RO"/>
              </w:rPr>
            </w:pPr>
            <w:r w:rsidRPr="00AB1788">
              <w:rPr>
                <w:rFonts w:ascii="Arial" w:hAnsi="Arial" w:cs="Arial"/>
                <w:b/>
                <w:i/>
                <w:sz w:val="20"/>
                <w:szCs w:val="20"/>
                <w:lang w:val="ro-RO"/>
              </w:rPr>
              <w:t xml:space="preserve">b) suma calculată ca produsul dintre venitul impozabil al anului precedent şi rata stabilită pentru perioada fiscală </w:t>
            </w:r>
            <w:r w:rsidR="00C847AD" w:rsidRPr="00AB1788">
              <w:rPr>
                <w:rFonts w:ascii="Arial" w:hAnsi="Arial" w:cs="Arial"/>
                <w:b/>
                <w:i/>
                <w:sz w:val="20"/>
                <w:szCs w:val="20"/>
                <w:lang w:val="ro-RO"/>
              </w:rPr>
              <w:t>curentă, conform prezentului titlu.”</w:t>
            </w:r>
          </w:p>
          <w:p w:rsidR="006F67AD" w:rsidRPr="00AB1788" w:rsidRDefault="006F67AD" w:rsidP="009E2169">
            <w:pPr>
              <w:rPr>
                <w:lang w:val="ro-RO"/>
              </w:rPr>
            </w:pPr>
          </w:p>
          <w:p w:rsidR="006F67AD" w:rsidRPr="00AB1788" w:rsidRDefault="00C847AD" w:rsidP="009E2169">
            <w:pPr>
              <w:rPr>
                <w:lang w:val="ro-RO"/>
              </w:rPr>
            </w:pPr>
            <w:r w:rsidRPr="00AB1788">
              <w:rPr>
                <w:lang w:val="ro-RO"/>
              </w:rPr>
              <w:t>Redacţia propusă va oferi mediului de afaceri posibilitatea de a alege metoda fezabilă privind plata impozitului în rate, precum şi va garanta bugetului public naţional suma necesară a impozitului pe venit calculat din venitul impozabil obţinut în anul 2011. Totodată, formula propusă va reduce semnificativ riscurile de aplicare a amenzilor calculate conform alin. (6) art. 261 al CF.</w:t>
            </w:r>
          </w:p>
          <w:p w:rsidR="006F67AD" w:rsidRPr="00AB1788" w:rsidRDefault="006F67AD" w:rsidP="009E2169">
            <w:pPr>
              <w:rPr>
                <w:lang w:val="ro-RO"/>
              </w:rPr>
            </w:pPr>
          </w:p>
        </w:tc>
      </w:tr>
      <w:tr w:rsidR="00F673B7" w:rsidRPr="00AB1788" w:rsidTr="009E2169">
        <w:tc>
          <w:tcPr>
            <w:tcW w:w="567" w:type="dxa"/>
          </w:tcPr>
          <w:p w:rsidR="00F673B7" w:rsidRPr="00AB1788" w:rsidRDefault="00E116BB" w:rsidP="009E2169">
            <w:pPr>
              <w:rPr>
                <w:lang w:val="ro-RO"/>
              </w:rPr>
            </w:pPr>
            <w:r w:rsidRPr="00AB1788">
              <w:rPr>
                <w:lang w:val="ro-RO"/>
              </w:rPr>
              <w:lastRenderedPageBreak/>
              <w:t>5</w:t>
            </w:r>
          </w:p>
        </w:tc>
        <w:tc>
          <w:tcPr>
            <w:tcW w:w="2552" w:type="dxa"/>
          </w:tcPr>
          <w:p w:rsidR="00F673B7" w:rsidRPr="00AB1788" w:rsidRDefault="00F673B7" w:rsidP="009E2169">
            <w:pPr>
              <w:rPr>
                <w:lang w:val="ro-RO"/>
              </w:rPr>
            </w:pPr>
          </w:p>
          <w:p w:rsidR="00F673B7" w:rsidRPr="00AB1788" w:rsidRDefault="00F673B7" w:rsidP="009E2169">
            <w:pPr>
              <w:rPr>
                <w:lang w:val="ro-RO"/>
              </w:rPr>
            </w:pPr>
          </w:p>
          <w:p w:rsidR="00F673B7" w:rsidRPr="00AB1788" w:rsidRDefault="00C847AD" w:rsidP="009E2169">
            <w:pPr>
              <w:rPr>
                <w:lang w:val="ro-RO"/>
              </w:rPr>
            </w:pPr>
            <w:r w:rsidRPr="00AB1788">
              <w:rPr>
                <w:lang w:val="ro-RO"/>
              </w:rPr>
              <w:t>Art. 260 alin. (4) al Codului fiscal</w:t>
            </w:r>
          </w:p>
        </w:tc>
        <w:tc>
          <w:tcPr>
            <w:tcW w:w="11974" w:type="dxa"/>
          </w:tcPr>
          <w:p w:rsidR="001C5B2B" w:rsidRPr="00AB1788" w:rsidRDefault="001C5B2B" w:rsidP="00F673B7">
            <w:pPr>
              <w:rPr>
                <w:lang w:val="ro-RO"/>
              </w:rPr>
            </w:pPr>
          </w:p>
          <w:p w:rsidR="00692FC2" w:rsidRPr="00AB1788" w:rsidRDefault="009661BE">
            <w:pPr>
              <w:widowControl/>
              <w:autoSpaceDE/>
              <w:autoSpaceDN/>
              <w:adjustRightInd/>
              <w:jc w:val="both"/>
              <w:rPr>
                <w:lang w:val="ro-RO"/>
              </w:rPr>
            </w:pPr>
            <w:r w:rsidRPr="00AB1788">
              <w:rPr>
                <w:lang w:val="ro-RO"/>
              </w:rPr>
              <w:t xml:space="preserve">Sugerăm completarea alin. (4) din art. 260 al Codului fiscal cu textul: „Prevederile prezentului alineat nu sunt aplicabile </w:t>
            </w:r>
            <w:proofErr w:type="spellStart"/>
            <w:r w:rsidRPr="00AB1788">
              <w:rPr>
                <w:lang w:val="ro-RO"/>
              </w:rPr>
              <w:t>refacturărilor</w:t>
            </w:r>
            <w:proofErr w:type="spellEnd"/>
            <w:r w:rsidRPr="00AB1788">
              <w:rPr>
                <w:lang w:val="ro-RO"/>
              </w:rPr>
              <w:t xml:space="preserve"> efectuate de către subiectul impozabil angajaţilor săi”.</w:t>
            </w:r>
          </w:p>
          <w:p w:rsidR="009661BE" w:rsidRPr="00AB1788" w:rsidRDefault="009661BE" w:rsidP="009661BE">
            <w:pPr>
              <w:widowControl/>
              <w:autoSpaceDE/>
              <w:autoSpaceDN/>
              <w:adjustRightInd/>
              <w:ind w:firstLine="567"/>
              <w:jc w:val="both"/>
              <w:rPr>
                <w:lang w:val="ro-RO"/>
              </w:rPr>
            </w:pPr>
          </w:p>
          <w:p w:rsidR="00692FC2" w:rsidRPr="00AB1788" w:rsidRDefault="009661BE">
            <w:pPr>
              <w:widowControl/>
              <w:autoSpaceDE/>
              <w:autoSpaceDN/>
              <w:adjustRightInd/>
              <w:jc w:val="both"/>
              <w:rPr>
                <w:lang w:val="ro-RO"/>
              </w:rPr>
            </w:pPr>
            <w:r w:rsidRPr="00AB1788">
              <w:rPr>
                <w:lang w:val="ro-RO"/>
              </w:rPr>
              <w:t>Potrivit amendamentelor operate prin Legea 267 din 23.12.2011, în condiţiile anului 2012 neprezentarea facturii fiscale în termenele prevăzute la art.117 şi 117</w:t>
            </w:r>
            <w:r w:rsidRPr="00AB1788">
              <w:rPr>
                <w:rStyle w:val="a5"/>
                <w:rFonts w:ascii="Tahoma" w:hAnsi="Tahoma"/>
                <w:sz w:val="18"/>
                <w:szCs w:val="18"/>
                <w:lang w:val="ro-RO" w:eastAsia="ro-RO"/>
              </w:rPr>
              <w:t>1</w:t>
            </w:r>
            <w:r w:rsidRPr="00AB1788">
              <w:rPr>
                <w:lang w:val="ro-RO"/>
              </w:rPr>
              <w:t xml:space="preserve"> se sancţionează cu o amendă în mărime de 3600 lei pentru fiecare factură fiscală neprezentată, dar nu mai mult de 108000 lei pentru toate facturile fiscale neprezentate în termenele stabilite. </w:t>
            </w:r>
          </w:p>
          <w:p w:rsidR="009661BE" w:rsidRPr="00AB1788" w:rsidRDefault="009661BE" w:rsidP="009661BE">
            <w:pPr>
              <w:widowControl/>
              <w:autoSpaceDE/>
              <w:autoSpaceDN/>
              <w:adjustRightInd/>
              <w:ind w:firstLine="567"/>
              <w:jc w:val="both"/>
              <w:rPr>
                <w:lang w:val="ro-RO"/>
              </w:rPr>
            </w:pPr>
          </w:p>
          <w:p w:rsidR="00692FC2" w:rsidRPr="00AB1788" w:rsidRDefault="009661BE">
            <w:pPr>
              <w:widowControl/>
              <w:autoSpaceDE/>
              <w:autoSpaceDN/>
              <w:adjustRightInd/>
              <w:jc w:val="both"/>
              <w:rPr>
                <w:lang w:val="ro-RO"/>
              </w:rPr>
            </w:pPr>
            <w:r w:rsidRPr="00AB1788">
              <w:rPr>
                <w:lang w:val="ro-RO"/>
              </w:rPr>
              <w:t xml:space="preserve">În practica, norma în cauză generează riscuri şi costuri nejustificate în cadrul controalelor fiscale, dacă agentul economic refacturează angajaţilor săi anumite costuri (de ex. convorbirile telefonice în scop personal, costuri cu carnete de muncă, hrana). </w:t>
            </w:r>
          </w:p>
          <w:p w:rsidR="009661BE" w:rsidRPr="00AB1788" w:rsidRDefault="009661BE" w:rsidP="009661BE">
            <w:pPr>
              <w:widowControl/>
              <w:autoSpaceDE/>
              <w:autoSpaceDN/>
              <w:adjustRightInd/>
              <w:ind w:firstLine="567"/>
              <w:jc w:val="both"/>
              <w:rPr>
                <w:lang w:val="ro-RO"/>
              </w:rPr>
            </w:pPr>
          </w:p>
          <w:p w:rsidR="00F673B7" w:rsidRPr="00AB1788" w:rsidRDefault="009661BE" w:rsidP="00BA474A">
            <w:pPr>
              <w:widowControl/>
              <w:autoSpaceDE/>
              <w:autoSpaceDN/>
              <w:adjustRightInd/>
              <w:jc w:val="both"/>
              <w:rPr>
                <w:lang w:val="ro-RO"/>
              </w:rPr>
            </w:pPr>
            <w:r w:rsidRPr="00AB1788">
              <w:rPr>
                <w:lang w:val="ro-RO"/>
              </w:rPr>
              <w:t xml:space="preserve">Amenda de 3600 lei pentru fiecare caz nu este una potrivită, deoarece în general factura fiscală urmează a fi emisă dacă are loc efectuarea unei livrări taxabile şi sensul emiterii facturii fiscale ţine de (i) documentarea livrărilor impozabile cu TVA şi (ii) oferirea dreptului la trecere în cont a TVA pentru beneficiar, însă, ambele aceste circumstanţe sunt irelevante în situaţia </w:t>
            </w:r>
            <w:proofErr w:type="spellStart"/>
            <w:r w:rsidRPr="00AB1788">
              <w:rPr>
                <w:lang w:val="ro-RO"/>
              </w:rPr>
              <w:t>refacturării</w:t>
            </w:r>
            <w:proofErr w:type="spellEnd"/>
            <w:r w:rsidRPr="00AB1788">
              <w:rPr>
                <w:lang w:val="ro-RO"/>
              </w:rPr>
              <w:t xml:space="preserve"> costurilor către angajaţi.</w:t>
            </w:r>
          </w:p>
        </w:tc>
      </w:tr>
      <w:tr w:rsidR="00F673B7" w:rsidRPr="00AB1788" w:rsidTr="009E2169">
        <w:tc>
          <w:tcPr>
            <w:tcW w:w="567" w:type="dxa"/>
          </w:tcPr>
          <w:p w:rsidR="00F673B7" w:rsidRPr="00AB1788" w:rsidRDefault="00F673B7" w:rsidP="009E2169">
            <w:pPr>
              <w:rPr>
                <w:lang w:val="ro-RO"/>
              </w:rPr>
            </w:pPr>
          </w:p>
        </w:tc>
        <w:tc>
          <w:tcPr>
            <w:tcW w:w="2552" w:type="dxa"/>
          </w:tcPr>
          <w:p w:rsidR="00F673B7" w:rsidRPr="00AB1788" w:rsidRDefault="002F4AC5" w:rsidP="009E2169">
            <w:pPr>
              <w:rPr>
                <w:lang w:val="ro-RO"/>
              </w:rPr>
            </w:pPr>
            <w:r w:rsidRPr="00AB1788">
              <w:rPr>
                <w:lang w:val="ro-RO"/>
              </w:rPr>
              <w:t>Art.167 al Codului Fiscal</w:t>
            </w:r>
          </w:p>
        </w:tc>
        <w:tc>
          <w:tcPr>
            <w:tcW w:w="11974" w:type="dxa"/>
          </w:tcPr>
          <w:p w:rsidR="00BA474A" w:rsidRDefault="002F4AC5" w:rsidP="002F4AC5">
            <w:pPr>
              <w:rPr>
                <w:lang w:val="ro-RO"/>
              </w:rPr>
            </w:pPr>
            <w:r w:rsidRPr="00AB1788">
              <w:rPr>
                <w:lang w:val="ro-RO"/>
              </w:rPr>
              <w:t>Potrivit modific</w:t>
            </w:r>
            <w:r w:rsidR="00BA474A">
              <w:rPr>
                <w:lang w:val="ro-RO"/>
              </w:rPr>
              <w:t>ă</w:t>
            </w:r>
            <w:r w:rsidRPr="00AB1788">
              <w:rPr>
                <w:lang w:val="ro-RO"/>
              </w:rPr>
              <w:t>rilor Codului Fiscal operate prin Legea nr. 267 din 23.12.2011, institu</w:t>
            </w:r>
            <w:r w:rsidR="00BA474A">
              <w:rPr>
                <w:lang w:val="ro-RO"/>
              </w:rPr>
              <w:t>ţ</w:t>
            </w:r>
            <w:r w:rsidRPr="00AB1788">
              <w:rPr>
                <w:lang w:val="ro-RO"/>
              </w:rPr>
              <w:t>iile financiare sunt obligate s</w:t>
            </w:r>
            <w:r w:rsidR="00BA474A">
              <w:rPr>
                <w:lang w:val="ro-RO"/>
              </w:rPr>
              <w:t>ă</w:t>
            </w:r>
            <w:r w:rsidRPr="00AB1788">
              <w:rPr>
                <w:lang w:val="ro-RO"/>
              </w:rPr>
              <w:t xml:space="preserve"> informeze </w:t>
            </w:r>
            <w:r w:rsidR="00BA474A">
              <w:rPr>
                <w:lang w:val="ro-RO"/>
              </w:rPr>
              <w:t>î</w:t>
            </w:r>
            <w:r w:rsidRPr="00AB1788">
              <w:rPr>
                <w:lang w:val="ro-RO"/>
              </w:rPr>
              <w:t>n aceia</w:t>
            </w:r>
            <w:r w:rsidR="00BA474A">
              <w:rPr>
                <w:lang w:val="ro-RO"/>
              </w:rPr>
              <w:t>ş</w:t>
            </w:r>
            <w:r w:rsidRPr="00AB1788">
              <w:rPr>
                <w:lang w:val="ro-RO"/>
              </w:rPr>
              <w:t>i zi organul fiscal prin sistemul informa</w:t>
            </w:r>
            <w:r w:rsidR="00BA474A">
              <w:rPr>
                <w:lang w:val="ro-RO"/>
              </w:rPr>
              <w:t>ţ</w:t>
            </w:r>
            <w:r w:rsidRPr="00AB1788">
              <w:rPr>
                <w:lang w:val="ro-RO"/>
              </w:rPr>
              <w:t>ional automatizat de creare si circula</w:t>
            </w:r>
            <w:r w:rsidR="00BA474A">
              <w:rPr>
                <w:lang w:val="ro-RO"/>
              </w:rPr>
              <w:t>ţ</w:t>
            </w:r>
            <w:r w:rsidRPr="00AB1788">
              <w:rPr>
                <w:lang w:val="ro-RO"/>
              </w:rPr>
              <w:t xml:space="preserve">ie a documentelor electronice </w:t>
            </w:r>
            <w:r w:rsidR="00BA474A">
              <w:rPr>
                <w:lang w:val="ro-RO"/>
              </w:rPr>
              <w:t>î</w:t>
            </w:r>
            <w:r w:rsidRPr="00AB1788">
              <w:rPr>
                <w:lang w:val="ro-RO"/>
              </w:rPr>
              <w:t>ntre Serviciul Fiscal de Stat si institu</w:t>
            </w:r>
            <w:r w:rsidR="00BA474A">
              <w:rPr>
                <w:lang w:val="ro-RO"/>
              </w:rPr>
              <w:t>ţ</w:t>
            </w:r>
            <w:r w:rsidRPr="00AB1788">
              <w:rPr>
                <w:lang w:val="ro-RO"/>
              </w:rPr>
              <w:t xml:space="preserve">iile financiare despre deschiderea, modificarea sau </w:t>
            </w:r>
            <w:r w:rsidR="00BA474A">
              <w:rPr>
                <w:lang w:val="ro-RO"/>
              </w:rPr>
              <w:t>î</w:t>
            </w:r>
            <w:r w:rsidRPr="00AB1788">
              <w:rPr>
                <w:lang w:val="ro-RO"/>
              </w:rPr>
              <w:t xml:space="preserve">nchiderea contului bancar. </w:t>
            </w:r>
          </w:p>
          <w:p w:rsidR="00BA474A" w:rsidRDefault="00BA474A" w:rsidP="002F4AC5">
            <w:pPr>
              <w:rPr>
                <w:lang w:val="ro-RO"/>
              </w:rPr>
            </w:pPr>
          </w:p>
          <w:p w:rsidR="00BA474A" w:rsidRDefault="002F4AC5" w:rsidP="002F4AC5">
            <w:pPr>
              <w:rPr>
                <w:lang w:val="ro-RO"/>
              </w:rPr>
            </w:pPr>
            <w:r w:rsidRPr="00AB1788">
              <w:rPr>
                <w:lang w:val="ro-RO"/>
              </w:rPr>
              <w:t>De asemenea, institu</w:t>
            </w:r>
            <w:r w:rsidR="00BA474A">
              <w:rPr>
                <w:lang w:val="ro-RO"/>
              </w:rPr>
              <w:t>ţ</w:t>
            </w:r>
            <w:r w:rsidRPr="00AB1788">
              <w:rPr>
                <w:lang w:val="ro-RO"/>
              </w:rPr>
              <w:t>ia financiara nu este in drept sa efectueze opera</w:t>
            </w:r>
            <w:r w:rsidR="00BA474A">
              <w:rPr>
                <w:lang w:val="ro-RO"/>
              </w:rPr>
              <w:t>ţ</w:t>
            </w:r>
            <w:r w:rsidRPr="00AB1788">
              <w:rPr>
                <w:lang w:val="ro-RO"/>
              </w:rPr>
              <w:t>iuni pe conturile bancare deschise daca nu are recep</w:t>
            </w:r>
            <w:r w:rsidR="00BA474A">
              <w:rPr>
                <w:lang w:val="ro-RO"/>
              </w:rPr>
              <w:t>ţ</w:t>
            </w:r>
            <w:r w:rsidRPr="00AB1788">
              <w:rPr>
                <w:lang w:val="ro-RO"/>
              </w:rPr>
              <w:t xml:space="preserve">ionat documentul </w:t>
            </w:r>
            <w:r w:rsidRPr="00BA474A">
              <w:rPr>
                <w:u w:val="single"/>
                <w:lang w:val="ro-RO"/>
              </w:rPr>
              <w:t>electronic</w:t>
            </w:r>
            <w:r w:rsidRPr="00AB1788">
              <w:rPr>
                <w:lang w:val="ro-RO"/>
              </w:rPr>
              <w:t xml:space="preserve"> emis de c</w:t>
            </w:r>
            <w:r w:rsidR="00BA474A">
              <w:rPr>
                <w:lang w:val="ro-RO"/>
              </w:rPr>
              <w:t>ă</w:t>
            </w:r>
            <w:r w:rsidRPr="00AB1788">
              <w:rPr>
                <w:lang w:val="ro-RO"/>
              </w:rPr>
              <w:t xml:space="preserve">tre organul fiscal </w:t>
            </w:r>
            <w:r w:rsidR="00BA474A">
              <w:rPr>
                <w:lang w:val="ro-RO"/>
              </w:rPr>
              <w:t>ş</w:t>
            </w:r>
            <w:r w:rsidRPr="00AB1788">
              <w:rPr>
                <w:lang w:val="ro-RO"/>
              </w:rPr>
              <w:t>i remis prin intermediul sistemului men</w:t>
            </w:r>
            <w:r w:rsidR="00BA474A">
              <w:rPr>
                <w:lang w:val="ro-RO"/>
              </w:rPr>
              <w:t>ţ</w:t>
            </w:r>
            <w:r w:rsidRPr="00AB1788">
              <w:rPr>
                <w:lang w:val="ro-RO"/>
              </w:rPr>
              <w:t>ionat.</w:t>
            </w:r>
          </w:p>
          <w:p w:rsidR="002F4AC5" w:rsidRPr="00AB1788" w:rsidRDefault="002F4AC5" w:rsidP="002F4AC5">
            <w:pPr>
              <w:rPr>
                <w:lang w:val="ro-RO"/>
              </w:rPr>
            </w:pPr>
            <w:r w:rsidRPr="00AB1788">
              <w:rPr>
                <w:lang w:val="ro-RO"/>
              </w:rPr>
              <w:t xml:space="preserve"> </w:t>
            </w:r>
          </w:p>
          <w:p w:rsidR="002F4AC5" w:rsidRDefault="002F4AC5" w:rsidP="002F4AC5">
            <w:pPr>
              <w:rPr>
                <w:lang w:val="ro-RO"/>
              </w:rPr>
            </w:pPr>
            <w:r w:rsidRPr="00AB1788">
              <w:rPr>
                <w:lang w:val="ro-RO"/>
              </w:rPr>
              <w:t>In caz de neconformare cu cerin</w:t>
            </w:r>
            <w:r w:rsidR="00BA474A">
              <w:rPr>
                <w:lang w:val="ro-RO"/>
              </w:rPr>
              <w:t>ţ</w:t>
            </w:r>
            <w:r w:rsidRPr="00AB1788">
              <w:rPr>
                <w:lang w:val="ro-RO"/>
              </w:rPr>
              <w:t>ele date institu</w:t>
            </w:r>
            <w:r w:rsidR="00BA474A">
              <w:rPr>
                <w:lang w:val="ro-RO"/>
              </w:rPr>
              <w:t>ţ</w:t>
            </w:r>
            <w:r w:rsidRPr="00AB1788">
              <w:rPr>
                <w:lang w:val="ro-RO"/>
              </w:rPr>
              <w:t>iile financiare risc</w:t>
            </w:r>
            <w:r w:rsidR="00BA474A">
              <w:rPr>
                <w:lang w:val="ro-RO"/>
              </w:rPr>
              <w:t>ă</w:t>
            </w:r>
            <w:r w:rsidRPr="00AB1788">
              <w:rPr>
                <w:lang w:val="ro-RO"/>
              </w:rPr>
              <w:t xml:space="preserve"> aplicarea unor amenzi semnificative.</w:t>
            </w:r>
          </w:p>
          <w:p w:rsidR="00BA474A" w:rsidRPr="00AB1788" w:rsidRDefault="00BA474A" w:rsidP="002F4AC5">
            <w:pPr>
              <w:rPr>
                <w:lang w:val="ro-RO"/>
              </w:rPr>
            </w:pPr>
          </w:p>
          <w:p w:rsidR="00F673B7" w:rsidRDefault="002F4AC5" w:rsidP="00BA474A">
            <w:pPr>
              <w:rPr>
                <w:lang w:val="ro-RO"/>
              </w:rPr>
            </w:pPr>
            <w:proofErr w:type="spellStart"/>
            <w:r w:rsidRPr="00AB1788">
              <w:rPr>
                <w:lang w:val="ro-RO"/>
              </w:rPr>
              <w:t>In</w:t>
            </w:r>
            <w:r w:rsidR="00BA474A">
              <w:rPr>
                <w:lang w:val="ro-RO"/>
              </w:rPr>
              <w:t>ţ</w:t>
            </w:r>
            <w:r w:rsidRPr="00AB1788">
              <w:rPr>
                <w:lang w:val="ro-RO"/>
              </w:rPr>
              <w:t>elegem</w:t>
            </w:r>
            <w:proofErr w:type="spellEnd"/>
            <w:r w:rsidRPr="00AB1788">
              <w:rPr>
                <w:lang w:val="ro-RO"/>
              </w:rPr>
              <w:t xml:space="preserve"> c</w:t>
            </w:r>
            <w:r w:rsidR="00BA474A">
              <w:rPr>
                <w:lang w:val="ro-RO"/>
              </w:rPr>
              <w:t>ă</w:t>
            </w:r>
            <w:r w:rsidRPr="00AB1788">
              <w:rPr>
                <w:lang w:val="ro-RO"/>
              </w:rPr>
              <w:t xml:space="preserve"> acest Sistem informa</w:t>
            </w:r>
            <w:r w:rsidR="00BA474A">
              <w:rPr>
                <w:lang w:val="ro-RO"/>
              </w:rPr>
              <w:t>ţ</w:t>
            </w:r>
            <w:r w:rsidRPr="00AB1788">
              <w:rPr>
                <w:lang w:val="ro-RO"/>
              </w:rPr>
              <w:t xml:space="preserve">ional nu este pus </w:t>
            </w:r>
            <w:r w:rsidR="00BA474A">
              <w:rPr>
                <w:lang w:val="ro-RO"/>
              </w:rPr>
              <w:t>î</w:t>
            </w:r>
            <w:r w:rsidRPr="00AB1788">
              <w:rPr>
                <w:lang w:val="ro-RO"/>
              </w:rPr>
              <w:t xml:space="preserve">n aplicare iar modalitatea de </w:t>
            </w:r>
            <w:r w:rsidR="00874131">
              <w:rPr>
                <w:lang w:val="ro-RO"/>
              </w:rPr>
              <w:t xml:space="preserve">schimb de </w:t>
            </w:r>
            <w:r w:rsidRPr="00AB1788">
              <w:rPr>
                <w:lang w:val="ro-RO"/>
              </w:rPr>
              <w:t>informa</w:t>
            </w:r>
            <w:r w:rsidR="00BA474A">
              <w:rPr>
                <w:lang w:val="ro-RO"/>
              </w:rPr>
              <w:t>ţ</w:t>
            </w:r>
            <w:r w:rsidRPr="00AB1788">
              <w:rPr>
                <w:lang w:val="ro-RO"/>
              </w:rPr>
              <w:t>i</w:t>
            </w:r>
            <w:r w:rsidR="00874131">
              <w:rPr>
                <w:lang w:val="ro-RO"/>
              </w:rPr>
              <w:t>e şi notificarea organului fiscal</w:t>
            </w:r>
            <w:r w:rsidRPr="00AB1788">
              <w:rPr>
                <w:lang w:val="ro-RO"/>
              </w:rPr>
              <w:t xml:space="preserve"> cu referire la deschiderea, modificarea sau </w:t>
            </w:r>
            <w:r w:rsidR="00BA474A">
              <w:rPr>
                <w:lang w:val="ro-RO"/>
              </w:rPr>
              <w:t>î</w:t>
            </w:r>
            <w:r w:rsidRPr="00AB1788">
              <w:rPr>
                <w:lang w:val="ro-RO"/>
              </w:rPr>
              <w:t xml:space="preserve">nchiderea contului bancar este asigurata pe suport de </w:t>
            </w:r>
            <w:proofErr w:type="spellStart"/>
            <w:r w:rsidRPr="00AB1788">
              <w:rPr>
                <w:lang w:val="ro-RO"/>
              </w:rPr>
              <w:t>h</w:t>
            </w:r>
            <w:r w:rsidR="00BA474A">
              <w:rPr>
                <w:lang w:val="ro-RO"/>
              </w:rPr>
              <w:t>î</w:t>
            </w:r>
            <w:r w:rsidRPr="00AB1788">
              <w:rPr>
                <w:lang w:val="ro-RO"/>
              </w:rPr>
              <w:t>rtie</w:t>
            </w:r>
            <w:proofErr w:type="spellEnd"/>
            <w:r w:rsidRPr="00AB1788">
              <w:rPr>
                <w:lang w:val="ro-RO"/>
              </w:rPr>
              <w:t xml:space="preserve">. </w:t>
            </w:r>
            <w:r w:rsidR="00BA474A">
              <w:rPr>
                <w:lang w:val="ro-RO"/>
              </w:rPr>
              <w:t>Astfel</w:t>
            </w:r>
            <w:r w:rsidRPr="00AB1788">
              <w:rPr>
                <w:lang w:val="ro-RO"/>
              </w:rPr>
              <w:t xml:space="preserve">, </w:t>
            </w:r>
            <w:r w:rsidR="00BA474A">
              <w:rPr>
                <w:lang w:val="ro-RO"/>
              </w:rPr>
              <w:t>în condiţiile normelor fiscale aplicabile din 13 ianuarie 2012</w:t>
            </w:r>
            <w:r w:rsidRPr="00AB1788">
              <w:rPr>
                <w:lang w:val="ro-RO"/>
              </w:rPr>
              <w:t xml:space="preserve">, </w:t>
            </w:r>
            <w:r w:rsidR="00645A28" w:rsidRPr="00AB1788">
              <w:rPr>
                <w:lang w:val="ro-RO"/>
              </w:rPr>
              <w:t>institu</w:t>
            </w:r>
            <w:r w:rsidR="00645A28">
              <w:rPr>
                <w:lang w:val="ro-RO"/>
              </w:rPr>
              <w:t>ţ</w:t>
            </w:r>
            <w:r w:rsidR="00645A28" w:rsidRPr="00AB1788">
              <w:rPr>
                <w:lang w:val="ro-RO"/>
              </w:rPr>
              <w:t>iile</w:t>
            </w:r>
            <w:r w:rsidRPr="00AB1788">
              <w:rPr>
                <w:lang w:val="ro-RO"/>
              </w:rPr>
              <w:t xml:space="preserve"> financiare risca aplicarea amenzilor semnificative pentru neconformare </w:t>
            </w:r>
            <w:r w:rsidR="00BA474A">
              <w:rPr>
                <w:lang w:val="ro-RO"/>
              </w:rPr>
              <w:t>ş</w:t>
            </w:r>
            <w:r w:rsidRPr="00AB1788">
              <w:rPr>
                <w:lang w:val="ro-RO"/>
              </w:rPr>
              <w:t>i neaplicarea Sistemului informa</w:t>
            </w:r>
            <w:r w:rsidR="00BA474A">
              <w:rPr>
                <w:lang w:val="ro-RO"/>
              </w:rPr>
              <w:t>ţ</w:t>
            </w:r>
            <w:r w:rsidRPr="00AB1788">
              <w:rPr>
                <w:lang w:val="ro-RO"/>
              </w:rPr>
              <w:t>ional care trebuie s</w:t>
            </w:r>
            <w:r w:rsidR="00BA474A">
              <w:rPr>
                <w:lang w:val="ro-RO"/>
              </w:rPr>
              <w:t>ă</w:t>
            </w:r>
            <w:r w:rsidRPr="00AB1788">
              <w:rPr>
                <w:lang w:val="ro-RO"/>
              </w:rPr>
              <w:t xml:space="preserve"> fie asigurat de c</w:t>
            </w:r>
            <w:r w:rsidR="00BA474A">
              <w:rPr>
                <w:lang w:val="ro-RO"/>
              </w:rPr>
              <w:t>ă</w:t>
            </w:r>
            <w:r w:rsidRPr="00AB1788">
              <w:rPr>
                <w:lang w:val="ro-RO"/>
              </w:rPr>
              <w:t>tre organul fiscal.</w:t>
            </w:r>
          </w:p>
          <w:p w:rsidR="00BA474A" w:rsidRDefault="00BA474A" w:rsidP="00BA474A">
            <w:pPr>
              <w:rPr>
                <w:lang w:val="ro-RO"/>
              </w:rPr>
            </w:pPr>
          </w:p>
          <w:p w:rsidR="00BA474A" w:rsidRPr="00AB1788" w:rsidRDefault="00BA474A" w:rsidP="00874131">
            <w:pPr>
              <w:rPr>
                <w:lang w:val="ro-RO"/>
              </w:rPr>
            </w:pPr>
            <w:r>
              <w:rPr>
                <w:lang w:val="ro-RO"/>
              </w:rPr>
              <w:t>Prin urmare este strict recomandabilă introducerea unei norme exprese</w:t>
            </w:r>
            <w:r w:rsidR="00BD3CF9">
              <w:rPr>
                <w:lang w:val="ro-RO"/>
              </w:rPr>
              <w:t xml:space="preserve"> </w:t>
            </w:r>
            <w:r>
              <w:rPr>
                <w:lang w:val="ro-RO"/>
              </w:rPr>
              <w:t xml:space="preserve">prin care </w:t>
            </w:r>
            <w:r w:rsidR="00BD3CF9">
              <w:rPr>
                <w:lang w:val="ro-RO"/>
              </w:rPr>
              <w:t xml:space="preserve">să fie </w:t>
            </w:r>
            <w:r w:rsidR="00874131">
              <w:rPr>
                <w:lang w:val="ro-RO"/>
              </w:rPr>
              <w:t>scutite</w:t>
            </w:r>
            <w:r w:rsidR="00BD3CF9">
              <w:rPr>
                <w:lang w:val="ro-RO"/>
              </w:rPr>
              <w:t xml:space="preserve"> instituţiile financiare de aplicarea sancţiuni fiscale  </w:t>
            </w:r>
            <w:r>
              <w:rPr>
                <w:lang w:val="ro-RO"/>
              </w:rPr>
              <w:t xml:space="preserve">pentru perioada neaplicării Sistemului informaţional menţionat </w:t>
            </w:r>
            <w:r w:rsidR="00BD3CF9">
              <w:rPr>
                <w:lang w:val="ro-RO"/>
              </w:rPr>
              <w:t xml:space="preserve">din motive tehnice </w:t>
            </w:r>
            <w:r>
              <w:rPr>
                <w:lang w:val="ro-RO"/>
              </w:rPr>
              <w:t xml:space="preserve">şi </w:t>
            </w:r>
            <w:r w:rsidR="00BD3CF9">
              <w:rPr>
                <w:lang w:val="ro-RO"/>
              </w:rPr>
              <w:t xml:space="preserve">prevederea posibilităţii de </w:t>
            </w:r>
            <w:r>
              <w:rPr>
                <w:lang w:val="ro-RO"/>
              </w:rPr>
              <w:t>aplicare</w:t>
            </w:r>
            <w:r w:rsidR="00BD3CF9">
              <w:rPr>
                <w:lang w:val="ro-RO"/>
              </w:rPr>
              <w:t xml:space="preserve"> </w:t>
            </w:r>
            <w:r>
              <w:rPr>
                <w:lang w:val="ro-RO"/>
              </w:rPr>
              <w:t>a regimului alternativ de asigurarea a</w:t>
            </w:r>
            <w:r w:rsidR="00874131">
              <w:rPr>
                <w:lang w:val="ro-RO"/>
              </w:rPr>
              <w:t xml:space="preserve"> evidenţei de deschidere a cont</w:t>
            </w:r>
            <w:r>
              <w:rPr>
                <w:lang w:val="ro-RO"/>
              </w:rPr>
              <w:t>ur</w:t>
            </w:r>
            <w:r w:rsidR="00874131">
              <w:rPr>
                <w:lang w:val="ro-RO"/>
              </w:rPr>
              <w:t>i</w:t>
            </w:r>
            <w:r>
              <w:rPr>
                <w:lang w:val="ro-RO"/>
              </w:rPr>
              <w:t xml:space="preserve">lor şi modificărilor ulteriore pe suport de </w:t>
            </w:r>
            <w:proofErr w:type="spellStart"/>
            <w:r>
              <w:rPr>
                <w:lang w:val="ro-RO"/>
              </w:rPr>
              <w:t>hîrtie</w:t>
            </w:r>
            <w:proofErr w:type="spellEnd"/>
            <w:r>
              <w:rPr>
                <w:lang w:val="ro-RO"/>
              </w:rPr>
              <w:t xml:space="preserve"> </w:t>
            </w:r>
            <w:r w:rsidR="00BD3CF9">
              <w:rPr>
                <w:lang w:val="ro-RO"/>
              </w:rPr>
              <w:t>intre instituţiile financiare şi organul fiscal.</w:t>
            </w:r>
          </w:p>
        </w:tc>
      </w:tr>
      <w:tr w:rsidR="00F673B7" w:rsidRPr="00AB1788" w:rsidTr="009E2169">
        <w:tc>
          <w:tcPr>
            <w:tcW w:w="567" w:type="dxa"/>
          </w:tcPr>
          <w:p w:rsidR="00F673B7" w:rsidRPr="00AB1788" w:rsidRDefault="00F673B7" w:rsidP="009E2169">
            <w:pPr>
              <w:rPr>
                <w:lang w:val="ro-RO"/>
              </w:rPr>
            </w:pPr>
          </w:p>
        </w:tc>
        <w:tc>
          <w:tcPr>
            <w:tcW w:w="2552" w:type="dxa"/>
          </w:tcPr>
          <w:p w:rsidR="00F673B7" w:rsidRPr="00AB1788" w:rsidRDefault="00F673B7" w:rsidP="009E2169">
            <w:pPr>
              <w:rPr>
                <w:lang w:val="ro-RO"/>
              </w:rPr>
            </w:pPr>
          </w:p>
        </w:tc>
        <w:tc>
          <w:tcPr>
            <w:tcW w:w="11974" w:type="dxa"/>
          </w:tcPr>
          <w:p w:rsidR="00F673B7" w:rsidRPr="00AB1788" w:rsidRDefault="00F673B7" w:rsidP="009E2169">
            <w:pPr>
              <w:rPr>
                <w:lang w:val="ro-RO"/>
              </w:rPr>
            </w:pPr>
          </w:p>
        </w:tc>
      </w:tr>
    </w:tbl>
    <w:p w:rsidR="006F67AD" w:rsidRPr="00AB1788" w:rsidRDefault="006F67AD" w:rsidP="006F67AD">
      <w:pPr>
        <w:rPr>
          <w:lang w:val="ro-RO"/>
        </w:rPr>
      </w:pPr>
    </w:p>
    <w:p w:rsidR="006F67AD" w:rsidRPr="00AB1788" w:rsidRDefault="00C847AD" w:rsidP="001C5B2B">
      <w:pPr>
        <w:rPr>
          <w:b/>
          <w:lang w:val="ro-RO"/>
        </w:rPr>
      </w:pPr>
      <w:r w:rsidRPr="00AB1788">
        <w:rPr>
          <w:lang w:val="ro-RO"/>
        </w:rPr>
        <w:br/>
      </w:r>
    </w:p>
    <w:sectPr w:rsidR="006F67AD" w:rsidRPr="00AB1788" w:rsidSect="00BD2EBC">
      <w:footerReference w:type="default" r:id="rId10"/>
      <w:pgSz w:w="15840" w:h="12240" w:orient="landscape"/>
      <w:pgMar w:top="1701" w:right="1134" w:bottom="850" w:left="1134" w:header="708" w:footer="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013" w:rsidRDefault="00961013" w:rsidP="008C0ABA">
      <w:r>
        <w:separator/>
      </w:r>
    </w:p>
  </w:endnote>
  <w:endnote w:type="continuationSeparator" w:id="0">
    <w:p w:rsidR="00961013" w:rsidRDefault="00961013" w:rsidP="008C0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657"/>
      <w:docPartObj>
        <w:docPartGallery w:val="Page Numbers (Bottom of Page)"/>
        <w:docPartUnique/>
      </w:docPartObj>
    </w:sdtPr>
    <w:sdtContent>
      <w:p w:rsidR="00BA474A" w:rsidRDefault="00AC76B6">
        <w:pPr>
          <w:pStyle w:val="af1"/>
          <w:jc w:val="center"/>
        </w:pPr>
        <w:fldSimple w:instr=" PAGE   \* MERGEFORMAT ">
          <w:r w:rsidR="00F65DD5">
            <w:rPr>
              <w:noProof/>
            </w:rPr>
            <w:t>1</w:t>
          </w:r>
        </w:fldSimple>
      </w:p>
    </w:sdtContent>
  </w:sdt>
  <w:p w:rsidR="00BA474A" w:rsidRDefault="00BA474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013" w:rsidRDefault="00961013" w:rsidP="008C0ABA">
      <w:r>
        <w:separator/>
      </w:r>
    </w:p>
  </w:footnote>
  <w:footnote w:type="continuationSeparator" w:id="0">
    <w:p w:rsidR="00961013" w:rsidRDefault="00961013" w:rsidP="008C0ABA">
      <w:r>
        <w:continuationSeparator/>
      </w:r>
    </w:p>
  </w:footnote>
  <w:footnote w:id="1">
    <w:p w:rsidR="00BA474A" w:rsidRPr="00DD088F" w:rsidRDefault="00BA474A" w:rsidP="00F673B7">
      <w:pPr>
        <w:pStyle w:val="a3"/>
        <w:rPr>
          <w:sz w:val="16"/>
          <w:szCs w:val="16"/>
        </w:rPr>
      </w:pPr>
      <w:r>
        <w:rPr>
          <w:rStyle w:val="a5"/>
        </w:rPr>
        <w:footnoteRef/>
      </w:r>
      <w:r>
        <w:t xml:space="preserve"> </w:t>
      </w:r>
      <w:r w:rsidRPr="00DD088F">
        <w:rPr>
          <w:sz w:val="16"/>
          <w:szCs w:val="16"/>
        </w:rPr>
        <w:t xml:space="preserve">Art. 20 al Codului fiscal a fost completat cu </w:t>
      </w:r>
      <w:proofErr w:type="spellStart"/>
      <w:r w:rsidRPr="00DD088F">
        <w:rPr>
          <w:sz w:val="16"/>
          <w:szCs w:val="16"/>
        </w:rPr>
        <w:t>lit</w:t>
      </w:r>
      <w:proofErr w:type="spellEnd"/>
      <w:r w:rsidRPr="00DD088F">
        <w:rPr>
          <w:sz w:val="16"/>
          <w:szCs w:val="16"/>
        </w:rPr>
        <w:t xml:space="preserve"> p</w:t>
      </w:r>
      <w:r w:rsidRPr="00DD088F">
        <w:rPr>
          <w:rStyle w:val="a5"/>
          <w:sz w:val="16"/>
          <w:szCs w:val="16"/>
        </w:rPr>
        <w:t>1</w:t>
      </w:r>
      <w:r w:rsidRPr="00DD088F">
        <w:rPr>
          <w:sz w:val="16"/>
          <w:szCs w:val="16"/>
        </w:rPr>
        <w:t>) prin Legea nr. 154-XVI  din  21.07.2005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13BC"/>
    <w:multiLevelType w:val="hybridMultilevel"/>
    <w:tmpl w:val="D1B0FE6A"/>
    <w:lvl w:ilvl="0" w:tplc="F91648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D435C97"/>
    <w:multiLevelType w:val="hybridMultilevel"/>
    <w:tmpl w:val="6EB80AD8"/>
    <w:lvl w:ilvl="0" w:tplc="5A2A8D2C">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95981"/>
    <w:multiLevelType w:val="hybridMultilevel"/>
    <w:tmpl w:val="30AA5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167ED"/>
    <w:multiLevelType w:val="hybridMultilevel"/>
    <w:tmpl w:val="FBD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D069B"/>
    <w:multiLevelType w:val="hybridMultilevel"/>
    <w:tmpl w:val="50CAC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04D73"/>
    <w:multiLevelType w:val="hybridMultilevel"/>
    <w:tmpl w:val="723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02B7D"/>
    <w:multiLevelType w:val="hybridMultilevel"/>
    <w:tmpl w:val="358CBA10"/>
    <w:lvl w:ilvl="0" w:tplc="61929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86239C"/>
    <w:multiLevelType w:val="hybridMultilevel"/>
    <w:tmpl w:val="98ACAE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F0F7EBC"/>
    <w:multiLevelType w:val="hybridMultilevel"/>
    <w:tmpl w:val="024C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1"/>
  </w:num>
  <w:num w:numId="6">
    <w:abstractNumId w:val="3"/>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660E7"/>
    <w:rsid w:val="00031900"/>
    <w:rsid w:val="000379AA"/>
    <w:rsid w:val="00060296"/>
    <w:rsid w:val="000C33E4"/>
    <w:rsid w:val="00122EA4"/>
    <w:rsid w:val="00122EBC"/>
    <w:rsid w:val="001802AC"/>
    <w:rsid w:val="001C5B2B"/>
    <w:rsid w:val="001D2BAD"/>
    <w:rsid w:val="002A1A24"/>
    <w:rsid w:val="002D374B"/>
    <w:rsid w:val="002D63C5"/>
    <w:rsid w:val="002F4AC5"/>
    <w:rsid w:val="00353945"/>
    <w:rsid w:val="003A5A31"/>
    <w:rsid w:val="003C6B04"/>
    <w:rsid w:val="004109CE"/>
    <w:rsid w:val="0043755A"/>
    <w:rsid w:val="00527251"/>
    <w:rsid w:val="005560E7"/>
    <w:rsid w:val="00560DF4"/>
    <w:rsid w:val="00640795"/>
    <w:rsid w:val="00645A28"/>
    <w:rsid w:val="006658CE"/>
    <w:rsid w:val="006666DA"/>
    <w:rsid w:val="00692FC2"/>
    <w:rsid w:val="006B6C25"/>
    <w:rsid w:val="006D482B"/>
    <w:rsid w:val="006D7CBE"/>
    <w:rsid w:val="006F67AD"/>
    <w:rsid w:val="00730617"/>
    <w:rsid w:val="007377D1"/>
    <w:rsid w:val="00781AAB"/>
    <w:rsid w:val="007A6CF0"/>
    <w:rsid w:val="007F2B24"/>
    <w:rsid w:val="008159BF"/>
    <w:rsid w:val="008308BE"/>
    <w:rsid w:val="00871C5D"/>
    <w:rsid w:val="00874131"/>
    <w:rsid w:val="00875A9A"/>
    <w:rsid w:val="008C0ABA"/>
    <w:rsid w:val="00926F16"/>
    <w:rsid w:val="00961013"/>
    <w:rsid w:val="009661BE"/>
    <w:rsid w:val="00972644"/>
    <w:rsid w:val="009D0504"/>
    <w:rsid w:val="009E2169"/>
    <w:rsid w:val="00A1464A"/>
    <w:rsid w:val="00A43185"/>
    <w:rsid w:val="00AB1788"/>
    <w:rsid w:val="00AC76B6"/>
    <w:rsid w:val="00AD2FED"/>
    <w:rsid w:val="00B3375A"/>
    <w:rsid w:val="00B468B4"/>
    <w:rsid w:val="00BA474A"/>
    <w:rsid w:val="00BD2EBC"/>
    <w:rsid w:val="00BD3CF9"/>
    <w:rsid w:val="00C847AD"/>
    <w:rsid w:val="00CB063F"/>
    <w:rsid w:val="00CB35A6"/>
    <w:rsid w:val="00D11FDB"/>
    <w:rsid w:val="00D660E7"/>
    <w:rsid w:val="00DC4159"/>
    <w:rsid w:val="00DD4821"/>
    <w:rsid w:val="00DF396B"/>
    <w:rsid w:val="00E116BB"/>
    <w:rsid w:val="00E33B4C"/>
    <w:rsid w:val="00E74867"/>
    <w:rsid w:val="00E87481"/>
    <w:rsid w:val="00E87D2E"/>
    <w:rsid w:val="00EF4E77"/>
    <w:rsid w:val="00F06271"/>
    <w:rsid w:val="00F21C1D"/>
    <w:rsid w:val="00F65DD5"/>
    <w:rsid w:val="00F673B7"/>
    <w:rsid w:val="00F77E0E"/>
    <w:rsid w:val="00FB2307"/>
    <w:rsid w:val="00FC6E85"/>
    <w:rsid w:val="00FD115C"/>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E7"/>
    <w:pPr>
      <w:widowControl w:val="0"/>
      <w:autoSpaceDE w:val="0"/>
      <w:autoSpaceDN w:val="0"/>
      <w:adjustRightInd w:val="0"/>
      <w:spacing w:after="0" w:line="240" w:lineRule="auto"/>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C0ABA"/>
    <w:pPr>
      <w:widowControl/>
      <w:autoSpaceDE/>
      <w:autoSpaceDN/>
      <w:adjustRightInd/>
    </w:pPr>
    <w:rPr>
      <w:rFonts w:ascii="Times New Roman" w:hAnsi="Times New Roman" w:cs="Times New Roman"/>
      <w:lang w:val="ro-RO" w:eastAsia="ro-RO"/>
    </w:rPr>
  </w:style>
  <w:style w:type="character" w:customStyle="1" w:styleId="a4">
    <w:name w:val="Текст сноски Знак"/>
    <w:basedOn w:val="a0"/>
    <w:link w:val="a3"/>
    <w:uiPriority w:val="99"/>
    <w:semiHidden/>
    <w:rsid w:val="008C0ABA"/>
    <w:rPr>
      <w:rFonts w:ascii="Times New Roman" w:eastAsia="Times New Roman" w:hAnsi="Times New Roman" w:cs="Times New Roman"/>
      <w:sz w:val="20"/>
      <w:szCs w:val="20"/>
      <w:lang w:val="ro-RO" w:eastAsia="ro-RO"/>
    </w:rPr>
  </w:style>
  <w:style w:type="character" w:styleId="a5">
    <w:name w:val="footnote reference"/>
    <w:basedOn w:val="a0"/>
    <w:uiPriority w:val="99"/>
    <w:semiHidden/>
    <w:rsid w:val="008C0ABA"/>
    <w:rPr>
      <w:rFonts w:cs="Times New Roman"/>
      <w:vertAlign w:val="superscript"/>
    </w:rPr>
  </w:style>
  <w:style w:type="paragraph" w:styleId="a6">
    <w:name w:val="Normal (Web)"/>
    <w:aliases w:val="Знак, Знак"/>
    <w:basedOn w:val="a"/>
    <w:link w:val="a7"/>
    <w:uiPriority w:val="99"/>
    <w:qFormat/>
    <w:rsid w:val="008C0AB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7">
    <w:name w:val="Обычный (веб) Знак"/>
    <w:aliases w:val="Знак Знак, Знак Знак"/>
    <w:basedOn w:val="a0"/>
    <w:link w:val="a6"/>
    <w:uiPriority w:val="99"/>
    <w:locked/>
    <w:rsid w:val="008C0ABA"/>
    <w:rPr>
      <w:rFonts w:ascii="Times New Roman" w:eastAsia="Times New Roman" w:hAnsi="Times New Roman" w:cs="Times New Roman"/>
      <w:sz w:val="24"/>
      <w:szCs w:val="24"/>
    </w:rPr>
  </w:style>
  <w:style w:type="paragraph" w:styleId="a8">
    <w:name w:val="List Paragraph"/>
    <w:basedOn w:val="a"/>
    <w:uiPriority w:val="34"/>
    <w:qFormat/>
    <w:rsid w:val="00FF7DF9"/>
    <w:pPr>
      <w:ind w:left="720"/>
      <w:contextualSpacing/>
    </w:pPr>
  </w:style>
  <w:style w:type="character" w:styleId="a9">
    <w:name w:val="Hyperlink"/>
    <w:basedOn w:val="a0"/>
    <w:uiPriority w:val="99"/>
    <w:unhideWhenUsed/>
    <w:rsid w:val="00A1464A"/>
    <w:rPr>
      <w:color w:val="0000FF" w:themeColor="hyperlink"/>
      <w:u w:val="single"/>
    </w:rPr>
  </w:style>
  <w:style w:type="paragraph" w:customStyle="1" w:styleId="Default">
    <w:name w:val="Default"/>
    <w:rsid w:val="00A1464A"/>
    <w:pPr>
      <w:autoSpaceDE w:val="0"/>
      <w:autoSpaceDN w:val="0"/>
      <w:adjustRightInd w:val="0"/>
      <w:spacing w:after="0" w:line="240" w:lineRule="auto"/>
    </w:pPr>
    <w:rPr>
      <w:rFonts w:ascii="EUAlbertina" w:hAnsi="EUAlbertina" w:cs="EUAlbertina"/>
      <w:color w:val="000000"/>
      <w:sz w:val="24"/>
      <w:szCs w:val="24"/>
      <w:lang w:val="ru-RU"/>
    </w:rPr>
  </w:style>
  <w:style w:type="character" w:styleId="aa">
    <w:name w:val="annotation reference"/>
    <w:basedOn w:val="a0"/>
    <w:uiPriority w:val="99"/>
    <w:semiHidden/>
    <w:unhideWhenUsed/>
    <w:rsid w:val="00A1464A"/>
    <w:rPr>
      <w:sz w:val="16"/>
      <w:szCs w:val="16"/>
    </w:rPr>
  </w:style>
  <w:style w:type="paragraph" w:styleId="ab">
    <w:name w:val="annotation text"/>
    <w:basedOn w:val="a"/>
    <w:link w:val="ac"/>
    <w:uiPriority w:val="99"/>
    <w:semiHidden/>
    <w:unhideWhenUsed/>
    <w:rsid w:val="00A1464A"/>
    <w:pPr>
      <w:widowControl/>
      <w:autoSpaceDE/>
      <w:autoSpaceDN/>
      <w:adjustRightInd/>
      <w:spacing w:after="200"/>
    </w:pPr>
    <w:rPr>
      <w:rFonts w:asciiTheme="minorHAnsi" w:eastAsiaTheme="minorHAnsi" w:hAnsiTheme="minorHAnsi" w:cstheme="minorBidi"/>
      <w:lang w:val="ru-RU"/>
    </w:rPr>
  </w:style>
  <w:style w:type="character" w:customStyle="1" w:styleId="ac">
    <w:name w:val="Текст примечания Знак"/>
    <w:basedOn w:val="a0"/>
    <w:link w:val="ab"/>
    <w:uiPriority w:val="99"/>
    <w:semiHidden/>
    <w:rsid w:val="00A1464A"/>
    <w:rPr>
      <w:sz w:val="20"/>
      <w:szCs w:val="20"/>
      <w:lang w:val="ru-RU"/>
    </w:rPr>
  </w:style>
  <w:style w:type="paragraph" w:styleId="ad">
    <w:name w:val="Balloon Text"/>
    <w:basedOn w:val="a"/>
    <w:link w:val="ae"/>
    <w:uiPriority w:val="99"/>
    <w:semiHidden/>
    <w:unhideWhenUsed/>
    <w:rsid w:val="00A1464A"/>
    <w:rPr>
      <w:rFonts w:ascii="Tahoma" w:hAnsi="Tahoma" w:cs="Tahoma"/>
      <w:sz w:val="16"/>
      <w:szCs w:val="16"/>
    </w:rPr>
  </w:style>
  <w:style w:type="character" w:customStyle="1" w:styleId="ae">
    <w:name w:val="Текст выноски Знак"/>
    <w:basedOn w:val="a0"/>
    <w:link w:val="ad"/>
    <w:uiPriority w:val="99"/>
    <w:semiHidden/>
    <w:rsid w:val="00A1464A"/>
    <w:rPr>
      <w:rFonts w:ascii="Tahoma" w:eastAsia="Times New Roman" w:hAnsi="Tahoma" w:cs="Tahoma"/>
      <w:sz w:val="16"/>
      <w:szCs w:val="16"/>
    </w:rPr>
  </w:style>
  <w:style w:type="paragraph" w:styleId="af">
    <w:name w:val="header"/>
    <w:basedOn w:val="a"/>
    <w:link w:val="af0"/>
    <w:uiPriority w:val="99"/>
    <w:semiHidden/>
    <w:unhideWhenUsed/>
    <w:rsid w:val="00BD2EBC"/>
    <w:pPr>
      <w:tabs>
        <w:tab w:val="center" w:pos="4844"/>
        <w:tab w:val="right" w:pos="9689"/>
      </w:tabs>
    </w:pPr>
  </w:style>
  <w:style w:type="character" w:customStyle="1" w:styleId="af0">
    <w:name w:val="Верхний колонтитул Знак"/>
    <w:basedOn w:val="a0"/>
    <w:link w:val="af"/>
    <w:uiPriority w:val="99"/>
    <w:semiHidden/>
    <w:rsid w:val="00BD2EBC"/>
    <w:rPr>
      <w:rFonts w:ascii="Arial" w:eastAsia="Times New Roman" w:hAnsi="Arial" w:cs="Arial"/>
      <w:sz w:val="20"/>
      <w:szCs w:val="20"/>
    </w:rPr>
  </w:style>
  <w:style w:type="paragraph" w:styleId="af1">
    <w:name w:val="footer"/>
    <w:basedOn w:val="a"/>
    <w:link w:val="af2"/>
    <w:uiPriority w:val="99"/>
    <w:unhideWhenUsed/>
    <w:rsid w:val="00BD2EBC"/>
    <w:pPr>
      <w:tabs>
        <w:tab w:val="center" w:pos="4844"/>
        <w:tab w:val="right" w:pos="9689"/>
      </w:tabs>
    </w:pPr>
  </w:style>
  <w:style w:type="character" w:customStyle="1" w:styleId="af2">
    <w:name w:val="Нижний колонтитул Знак"/>
    <w:basedOn w:val="a0"/>
    <w:link w:val="af1"/>
    <w:uiPriority w:val="99"/>
    <w:rsid w:val="00BD2EBC"/>
    <w:rPr>
      <w:rFonts w:ascii="Arial" w:eastAsia="Times New Roman" w:hAnsi="Arial" w:cs="Arial"/>
      <w:sz w:val="20"/>
      <w:szCs w:val="20"/>
    </w:rPr>
  </w:style>
  <w:style w:type="paragraph" w:styleId="af3">
    <w:name w:val="annotation subject"/>
    <w:basedOn w:val="ab"/>
    <w:next w:val="ab"/>
    <w:link w:val="af4"/>
    <w:uiPriority w:val="99"/>
    <w:semiHidden/>
    <w:unhideWhenUsed/>
    <w:rsid w:val="001C5B2B"/>
    <w:pPr>
      <w:widowControl w:val="0"/>
      <w:autoSpaceDE w:val="0"/>
      <w:autoSpaceDN w:val="0"/>
      <w:adjustRightInd w:val="0"/>
      <w:spacing w:after="0"/>
    </w:pPr>
    <w:rPr>
      <w:rFonts w:ascii="Arial" w:eastAsia="Times New Roman" w:hAnsi="Arial" w:cs="Arial"/>
      <w:b/>
      <w:bCs/>
      <w:lang w:val="en-US"/>
    </w:rPr>
  </w:style>
  <w:style w:type="character" w:customStyle="1" w:styleId="af4">
    <w:name w:val="Тема примечания Знак"/>
    <w:basedOn w:val="ac"/>
    <w:link w:val="af3"/>
    <w:uiPriority w:val="99"/>
    <w:semiHidden/>
    <w:rsid w:val="001C5B2B"/>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0623024">
      <w:bodyDiv w:val="1"/>
      <w:marLeft w:val="0"/>
      <w:marRight w:val="0"/>
      <w:marTop w:val="0"/>
      <w:marBottom w:val="0"/>
      <w:divBdr>
        <w:top w:val="none" w:sz="0" w:space="0" w:color="auto"/>
        <w:left w:val="none" w:sz="0" w:space="0" w:color="auto"/>
        <w:bottom w:val="none" w:sz="0" w:space="0" w:color="auto"/>
        <w:right w:val="none" w:sz="0" w:space="0" w:color="auto"/>
      </w:divBdr>
    </w:div>
    <w:div w:id="128475343">
      <w:bodyDiv w:val="1"/>
      <w:marLeft w:val="0"/>
      <w:marRight w:val="0"/>
      <w:marTop w:val="0"/>
      <w:marBottom w:val="0"/>
      <w:divBdr>
        <w:top w:val="none" w:sz="0" w:space="0" w:color="auto"/>
        <w:left w:val="none" w:sz="0" w:space="0" w:color="auto"/>
        <w:bottom w:val="none" w:sz="0" w:space="0" w:color="auto"/>
        <w:right w:val="none" w:sz="0" w:space="0" w:color="auto"/>
      </w:divBdr>
    </w:div>
    <w:div w:id="279773366">
      <w:bodyDiv w:val="1"/>
      <w:marLeft w:val="0"/>
      <w:marRight w:val="0"/>
      <w:marTop w:val="0"/>
      <w:marBottom w:val="0"/>
      <w:divBdr>
        <w:top w:val="none" w:sz="0" w:space="0" w:color="auto"/>
        <w:left w:val="none" w:sz="0" w:space="0" w:color="auto"/>
        <w:bottom w:val="none" w:sz="0" w:space="0" w:color="auto"/>
        <w:right w:val="none" w:sz="0" w:space="0" w:color="auto"/>
      </w:divBdr>
    </w:div>
    <w:div w:id="663432788">
      <w:bodyDiv w:val="1"/>
      <w:marLeft w:val="0"/>
      <w:marRight w:val="0"/>
      <w:marTop w:val="0"/>
      <w:marBottom w:val="0"/>
      <w:divBdr>
        <w:top w:val="none" w:sz="0" w:space="0" w:color="auto"/>
        <w:left w:val="none" w:sz="0" w:space="0" w:color="auto"/>
        <w:bottom w:val="none" w:sz="0" w:space="0" w:color="auto"/>
        <w:right w:val="none" w:sz="0" w:space="0" w:color="auto"/>
      </w:divBdr>
    </w:div>
    <w:div w:id="11153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ceban001\Local%20Settings\Temp\notesC9812B\TEXT=LPLP201112232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sceban001\Local%20Settings\Temp\notesC9812B\TEXT=LPLP20111223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9C2D-DBEE-42C5-AD19-E1F4DED9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Serghei</dc:creator>
  <cp:lastModifiedBy>Mariana</cp:lastModifiedBy>
  <cp:revision>3</cp:revision>
  <dcterms:created xsi:type="dcterms:W3CDTF">2012-03-05T13:11:00Z</dcterms:created>
  <dcterms:modified xsi:type="dcterms:W3CDTF">2012-03-12T08:30:00Z</dcterms:modified>
</cp:coreProperties>
</file>